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2C" w:rsidRPr="00216C2D" w:rsidRDefault="003F4C2C" w:rsidP="00216C2D">
      <w:pPr>
        <w:ind w:right="-90"/>
        <w:jc w:val="center"/>
        <w:rPr>
          <w:rFonts w:ascii="Arial" w:hAnsi="Arial" w:cs="Arial"/>
          <w:b/>
          <w:szCs w:val="24"/>
          <w:u w:val="single"/>
        </w:rPr>
      </w:pPr>
      <w:r w:rsidRPr="00216C2D">
        <w:rPr>
          <w:rFonts w:ascii="Arial" w:hAnsi="Arial" w:cs="Arial"/>
          <w:b/>
          <w:szCs w:val="24"/>
          <w:u w:val="single"/>
        </w:rPr>
        <w:t>WRRDA Conference Report</w:t>
      </w:r>
      <w:r w:rsidR="001071CB" w:rsidRPr="00216C2D">
        <w:rPr>
          <w:rFonts w:ascii="Arial" w:hAnsi="Arial" w:cs="Arial"/>
          <w:b/>
          <w:szCs w:val="24"/>
          <w:u w:val="single"/>
        </w:rPr>
        <w:t xml:space="preserve"> and AAPA Recommendations</w:t>
      </w:r>
    </w:p>
    <w:p w:rsidR="003F4C2C" w:rsidRPr="001071CB" w:rsidRDefault="003F4C2C" w:rsidP="003F4C2C">
      <w:pPr>
        <w:ind w:right="-90"/>
        <w:rPr>
          <w:rFonts w:ascii="Arial" w:hAnsi="Arial" w:cs="Arial"/>
          <w:szCs w:val="24"/>
          <w:u w:val="single"/>
        </w:rPr>
      </w:pPr>
    </w:p>
    <w:p w:rsidR="00216C2D" w:rsidRDefault="00216C2D" w:rsidP="003F4C2C">
      <w:pPr>
        <w:ind w:right="-90"/>
        <w:rPr>
          <w:rFonts w:ascii="Arial" w:hAnsi="Arial" w:cs="Arial"/>
          <w:szCs w:val="24"/>
          <w:u w:val="single"/>
        </w:rPr>
      </w:pPr>
    </w:p>
    <w:p w:rsidR="003F4C2C" w:rsidRPr="001071CB" w:rsidRDefault="003F4C2C" w:rsidP="003F4C2C">
      <w:pPr>
        <w:ind w:right="-90"/>
        <w:rPr>
          <w:rFonts w:ascii="Arial" w:hAnsi="Arial" w:cs="Arial"/>
          <w:szCs w:val="24"/>
          <w:u w:val="single"/>
        </w:rPr>
      </w:pPr>
      <w:r w:rsidRPr="001071CB">
        <w:rPr>
          <w:rFonts w:ascii="Arial" w:hAnsi="Arial" w:cs="Arial"/>
          <w:szCs w:val="24"/>
          <w:u w:val="single"/>
        </w:rPr>
        <w:t>Title 1, Program Reforms and Streamlining</w:t>
      </w:r>
    </w:p>
    <w:p w:rsidR="003F4C2C" w:rsidRPr="001071CB" w:rsidRDefault="003F4C2C" w:rsidP="003F4C2C">
      <w:pPr>
        <w:ind w:right="-90"/>
        <w:rPr>
          <w:rFonts w:ascii="Arial" w:hAnsi="Arial" w:cs="Arial"/>
          <w:szCs w:val="24"/>
          <w:u w:val="single"/>
        </w:rPr>
      </w:pPr>
    </w:p>
    <w:p w:rsidR="003F4C2C" w:rsidRPr="001071CB" w:rsidRDefault="003F4C2C" w:rsidP="003F4C2C">
      <w:pPr>
        <w:ind w:right="-90"/>
        <w:rPr>
          <w:rFonts w:ascii="Arial" w:hAnsi="Arial" w:cs="Arial"/>
          <w:szCs w:val="24"/>
        </w:rPr>
      </w:pPr>
      <w:r w:rsidRPr="001071CB">
        <w:rPr>
          <w:rFonts w:ascii="Arial" w:hAnsi="Arial" w:cs="Arial"/>
          <w:szCs w:val="24"/>
        </w:rPr>
        <w:t xml:space="preserve">AAPA advocated for these WRRDA provisions:  </w:t>
      </w:r>
    </w:p>
    <w:p w:rsidR="003F4C2C" w:rsidRPr="001071CB" w:rsidRDefault="003F4C2C" w:rsidP="003F4C2C">
      <w:pPr>
        <w:ind w:right="-90"/>
        <w:rPr>
          <w:rFonts w:ascii="Arial" w:hAnsi="Arial" w:cs="Arial"/>
          <w:szCs w:val="24"/>
        </w:rPr>
      </w:pPr>
    </w:p>
    <w:p w:rsidR="003F4C2C" w:rsidRPr="001071CB" w:rsidRDefault="003F4C2C"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1001 – Vertical Integration and Acceleration of Studies:  Directs Corps to implement 3x3x3 ‘to the maximum extent practicable’.  </w:t>
      </w:r>
      <w:r w:rsidR="00133EE7" w:rsidRPr="001071CB">
        <w:rPr>
          <w:rFonts w:ascii="Arial" w:hAnsi="Arial" w:cs="Arial"/>
          <w:szCs w:val="24"/>
        </w:rPr>
        <w:t xml:space="preserve">AAPA advocated for streamlining and supported this approach while in Conference.  The House version </w:t>
      </w:r>
      <w:r w:rsidR="008A0BDB" w:rsidRPr="001071CB">
        <w:rPr>
          <w:rFonts w:ascii="Arial" w:hAnsi="Arial" w:cs="Arial"/>
          <w:szCs w:val="24"/>
        </w:rPr>
        <w:t>established a</w:t>
      </w:r>
      <w:r w:rsidRPr="001071CB">
        <w:rPr>
          <w:rFonts w:ascii="Arial" w:hAnsi="Arial" w:cs="Arial"/>
          <w:szCs w:val="24"/>
        </w:rPr>
        <w:t xml:space="preserve"> manda</w:t>
      </w:r>
      <w:r w:rsidR="00216C2D">
        <w:rPr>
          <w:rFonts w:ascii="Arial" w:hAnsi="Arial" w:cs="Arial"/>
          <w:szCs w:val="24"/>
        </w:rPr>
        <w:t>te of three years and one</w:t>
      </w:r>
      <w:r w:rsidRPr="001071CB">
        <w:rPr>
          <w:rFonts w:ascii="Arial" w:hAnsi="Arial" w:cs="Arial"/>
          <w:szCs w:val="24"/>
        </w:rPr>
        <w:t xml:space="preserve"> additional year</w:t>
      </w:r>
      <w:r w:rsidR="00133EE7" w:rsidRPr="001071CB">
        <w:rPr>
          <w:rFonts w:ascii="Arial" w:hAnsi="Arial" w:cs="Arial"/>
          <w:szCs w:val="24"/>
        </w:rPr>
        <w:t>, which was thought to be too rigid</w:t>
      </w:r>
      <w:r w:rsidRPr="001071CB">
        <w:rPr>
          <w:rFonts w:ascii="Arial" w:hAnsi="Arial" w:cs="Arial"/>
          <w:szCs w:val="24"/>
        </w:rPr>
        <w:t xml:space="preserve">.  </w:t>
      </w:r>
    </w:p>
    <w:p w:rsidR="003F4C2C" w:rsidRPr="001071CB" w:rsidRDefault="003F4C2C"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1002 – Consolidation of Studies:  Eliminates the Reconnaissance Report for channel improvement studies.  </w:t>
      </w:r>
    </w:p>
    <w:p w:rsidR="003F4C2C" w:rsidRPr="001071CB" w:rsidRDefault="007F3412"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1005 </w:t>
      </w:r>
      <w:r w:rsidR="003F4C2C" w:rsidRPr="001071CB">
        <w:rPr>
          <w:rFonts w:ascii="Arial" w:hAnsi="Arial" w:cs="Arial"/>
          <w:szCs w:val="24"/>
        </w:rPr>
        <w:t xml:space="preserve">– </w:t>
      </w:r>
      <w:r w:rsidRPr="001071CB">
        <w:rPr>
          <w:rFonts w:ascii="Arial" w:hAnsi="Arial" w:cs="Arial"/>
          <w:szCs w:val="24"/>
        </w:rPr>
        <w:t>Project Acceleration: Expedited environmental coordination, reviews and decisions</w:t>
      </w:r>
    </w:p>
    <w:p w:rsidR="00634DD2" w:rsidRPr="001071CB" w:rsidRDefault="00634DD2"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1006 – Expediting the Evaluation and Processing of Permits.  Makes permanent the ability of the Corps of Engineers to accept funds for expedited regulatory permit evaluations.  Also establishes the ability of public utility and gas companies to fund expedited reviews </w:t>
      </w:r>
      <w:r w:rsidR="00B679CF" w:rsidRPr="001071CB">
        <w:rPr>
          <w:rFonts w:ascii="Arial" w:hAnsi="Arial" w:cs="Arial"/>
          <w:szCs w:val="24"/>
        </w:rPr>
        <w:t xml:space="preserve">for </w:t>
      </w:r>
      <w:r w:rsidR="00216C2D">
        <w:rPr>
          <w:rFonts w:ascii="Arial" w:hAnsi="Arial" w:cs="Arial"/>
          <w:szCs w:val="24"/>
        </w:rPr>
        <w:t>seven</w:t>
      </w:r>
      <w:r w:rsidR="00B679CF" w:rsidRPr="001071CB">
        <w:rPr>
          <w:rFonts w:ascii="Arial" w:hAnsi="Arial" w:cs="Arial"/>
          <w:szCs w:val="24"/>
        </w:rPr>
        <w:t xml:space="preserve"> years.  AAPA had advocated for this change.  </w:t>
      </w:r>
    </w:p>
    <w:p w:rsidR="003F4C2C" w:rsidRPr="001071CB" w:rsidRDefault="003F4C2C"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w:t>
      </w:r>
      <w:r w:rsidR="007F3412" w:rsidRPr="001071CB">
        <w:rPr>
          <w:rFonts w:ascii="Arial" w:hAnsi="Arial" w:cs="Arial"/>
          <w:szCs w:val="24"/>
        </w:rPr>
        <w:t>1014</w:t>
      </w:r>
      <w:r w:rsidRPr="001071CB">
        <w:rPr>
          <w:rFonts w:ascii="Arial" w:hAnsi="Arial" w:cs="Arial"/>
          <w:szCs w:val="24"/>
        </w:rPr>
        <w:t xml:space="preserve"> – </w:t>
      </w:r>
      <w:r w:rsidR="007F3412" w:rsidRPr="001071CB">
        <w:rPr>
          <w:rFonts w:ascii="Arial" w:hAnsi="Arial" w:cs="Arial"/>
          <w:szCs w:val="24"/>
        </w:rPr>
        <w:t xml:space="preserve">Study and Construction of Water Resources Development Projects by Non-Federal Interests:  Conference Committee revision aligns with AAPA advocacy </w:t>
      </w:r>
      <w:r w:rsidR="006B37E5" w:rsidRPr="001071CB">
        <w:rPr>
          <w:rFonts w:ascii="Arial" w:hAnsi="Arial" w:cs="Arial"/>
          <w:szCs w:val="24"/>
        </w:rPr>
        <w:t xml:space="preserve">(1) </w:t>
      </w:r>
      <w:r w:rsidR="007F3412" w:rsidRPr="001071CB">
        <w:rPr>
          <w:rFonts w:ascii="Arial" w:hAnsi="Arial" w:cs="Arial"/>
          <w:szCs w:val="24"/>
        </w:rPr>
        <w:t>on striking ‘… on their own</w:t>
      </w:r>
      <w:r w:rsidR="006B37E5" w:rsidRPr="001071CB">
        <w:rPr>
          <w:rFonts w:ascii="Arial" w:hAnsi="Arial" w:cs="Arial"/>
          <w:szCs w:val="24"/>
        </w:rPr>
        <w:t>’ which will enable Sponsors to fund the Corps for economic benefit determinations in Sponsor</w:t>
      </w:r>
      <w:r w:rsidR="00216C2D">
        <w:rPr>
          <w:rFonts w:ascii="Arial" w:hAnsi="Arial" w:cs="Arial"/>
          <w:szCs w:val="24"/>
        </w:rPr>
        <w:t>-</w:t>
      </w:r>
      <w:r w:rsidR="006B37E5" w:rsidRPr="001071CB">
        <w:rPr>
          <w:rFonts w:ascii="Arial" w:hAnsi="Arial" w:cs="Arial"/>
          <w:szCs w:val="24"/>
        </w:rPr>
        <w:t xml:space="preserve">led Feasibility Studies; and (2) striking the requirement for obtaining Congressional project authorization before the Secretary could sign an assumption of maintenance document.  </w:t>
      </w:r>
      <w:r w:rsidR="007F3412" w:rsidRPr="001071CB">
        <w:rPr>
          <w:rFonts w:ascii="Arial" w:hAnsi="Arial" w:cs="Arial"/>
          <w:szCs w:val="24"/>
        </w:rPr>
        <w:t xml:space="preserve"> </w:t>
      </w:r>
    </w:p>
    <w:p w:rsidR="003F4C2C" w:rsidRPr="001071CB" w:rsidRDefault="003F4C2C"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w:t>
      </w:r>
      <w:r w:rsidR="006B37E5" w:rsidRPr="001071CB">
        <w:rPr>
          <w:rFonts w:ascii="Arial" w:hAnsi="Arial" w:cs="Arial"/>
          <w:szCs w:val="24"/>
        </w:rPr>
        <w:t>1015</w:t>
      </w:r>
      <w:r w:rsidRPr="001071CB">
        <w:rPr>
          <w:rFonts w:ascii="Arial" w:hAnsi="Arial" w:cs="Arial"/>
          <w:szCs w:val="24"/>
        </w:rPr>
        <w:t xml:space="preserve"> – </w:t>
      </w:r>
      <w:r w:rsidR="006B37E5" w:rsidRPr="001071CB">
        <w:rPr>
          <w:rFonts w:ascii="Arial" w:hAnsi="Arial" w:cs="Arial"/>
          <w:szCs w:val="24"/>
        </w:rPr>
        <w:t xml:space="preserve">Contributions by </w:t>
      </w:r>
      <w:r w:rsidRPr="001071CB">
        <w:rPr>
          <w:rFonts w:ascii="Arial" w:hAnsi="Arial" w:cs="Arial"/>
          <w:szCs w:val="24"/>
        </w:rPr>
        <w:t xml:space="preserve">Non-Federal </w:t>
      </w:r>
      <w:r w:rsidR="006B37E5" w:rsidRPr="001071CB">
        <w:rPr>
          <w:rFonts w:ascii="Arial" w:hAnsi="Arial" w:cs="Arial"/>
          <w:szCs w:val="24"/>
        </w:rPr>
        <w:t>Interests:  This expands who can contribute funds by adding “… and other non-Federal interests.”</w:t>
      </w:r>
    </w:p>
    <w:p w:rsidR="00805109" w:rsidRPr="001071CB" w:rsidRDefault="00805109" w:rsidP="003F4C2C">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1016 – Operation and Maintenance of Certain Projects.  This provision addresses an issue of work underway before an assumption of maintenance agreement was signed.  </w:t>
      </w:r>
    </w:p>
    <w:p w:rsidR="003F4C2C" w:rsidRPr="001071CB" w:rsidRDefault="003F4C2C" w:rsidP="00805109">
      <w:pPr>
        <w:pStyle w:val="ListParagraph"/>
        <w:numPr>
          <w:ilvl w:val="0"/>
          <w:numId w:val="1"/>
        </w:numPr>
        <w:ind w:left="706" w:right="-86" w:hanging="432"/>
        <w:rPr>
          <w:rFonts w:ascii="Arial" w:hAnsi="Arial" w:cs="Arial"/>
          <w:szCs w:val="24"/>
        </w:rPr>
      </w:pPr>
      <w:r w:rsidRPr="001071CB">
        <w:rPr>
          <w:rFonts w:ascii="Arial" w:hAnsi="Arial" w:cs="Arial"/>
          <w:szCs w:val="24"/>
        </w:rPr>
        <w:t>Section</w:t>
      </w:r>
      <w:r w:rsidR="004D43FC" w:rsidRPr="001071CB">
        <w:rPr>
          <w:rFonts w:ascii="Arial" w:hAnsi="Arial" w:cs="Arial"/>
          <w:szCs w:val="24"/>
        </w:rPr>
        <w:t>s</w:t>
      </w:r>
      <w:r w:rsidRPr="001071CB">
        <w:rPr>
          <w:rFonts w:ascii="Arial" w:hAnsi="Arial" w:cs="Arial"/>
          <w:szCs w:val="24"/>
        </w:rPr>
        <w:t xml:space="preserve"> 10</w:t>
      </w:r>
      <w:r w:rsidR="004D43FC" w:rsidRPr="001071CB">
        <w:rPr>
          <w:rFonts w:ascii="Arial" w:hAnsi="Arial" w:cs="Arial"/>
          <w:szCs w:val="24"/>
        </w:rPr>
        <w:t>18, 1019, 1020, 1021, 1022, 102</w:t>
      </w:r>
      <w:r w:rsidRPr="001071CB">
        <w:rPr>
          <w:rFonts w:ascii="Arial" w:hAnsi="Arial" w:cs="Arial"/>
          <w:szCs w:val="24"/>
        </w:rPr>
        <w:t xml:space="preserve">3 – </w:t>
      </w:r>
      <w:r w:rsidR="004D43FC" w:rsidRPr="001071CB">
        <w:rPr>
          <w:rFonts w:ascii="Arial" w:hAnsi="Arial" w:cs="Arial"/>
          <w:szCs w:val="24"/>
        </w:rPr>
        <w:t>All address Credits for in</w:t>
      </w:r>
      <w:r w:rsidR="00216C2D">
        <w:rPr>
          <w:rFonts w:ascii="Arial" w:hAnsi="Arial" w:cs="Arial"/>
          <w:szCs w:val="24"/>
        </w:rPr>
        <w:t>-</w:t>
      </w:r>
      <w:r w:rsidR="004D43FC" w:rsidRPr="001071CB">
        <w:rPr>
          <w:rFonts w:ascii="Arial" w:hAnsi="Arial" w:cs="Arial"/>
          <w:szCs w:val="24"/>
        </w:rPr>
        <w:t xml:space="preserve">kind contributions, which expand a Sponsor’s flexibilities to expedite project completions.  </w:t>
      </w:r>
    </w:p>
    <w:p w:rsidR="003F4C2C" w:rsidRPr="001071CB" w:rsidRDefault="00133EE7" w:rsidP="003F4C2C">
      <w:pPr>
        <w:pStyle w:val="ListParagraph"/>
        <w:numPr>
          <w:ilvl w:val="0"/>
          <w:numId w:val="1"/>
        </w:numPr>
        <w:ind w:left="706" w:right="-86" w:hanging="432"/>
        <w:rPr>
          <w:rFonts w:ascii="Arial" w:hAnsi="Arial" w:cs="Arial"/>
          <w:szCs w:val="24"/>
        </w:rPr>
      </w:pPr>
      <w:r w:rsidRPr="001071CB">
        <w:rPr>
          <w:rFonts w:ascii="Arial" w:hAnsi="Arial" w:cs="Arial"/>
          <w:szCs w:val="24"/>
        </w:rPr>
        <w:t>Section 1043</w:t>
      </w:r>
      <w:r w:rsidR="003F4C2C" w:rsidRPr="001071CB">
        <w:rPr>
          <w:rFonts w:ascii="Arial" w:hAnsi="Arial" w:cs="Arial"/>
          <w:szCs w:val="24"/>
        </w:rPr>
        <w:t xml:space="preserve"> – </w:t>
      </w:r>
      <w:r w:rsidRPr="001071CB">
        <w:rPr>
          <w:rFonts w:ascii="Arial" w:hAnsi="Arial" w:cs="Arial"/>
          <w:szCs w:val="24"/>
        </w:rPr>
        <w:t>Non-Federal Implementation Pilot Program.  This aligned with AAPA’s recommendations on improving process streamlining.</w:t>
      </w:r>
    </w:p>
    <w:p w:rsidR="003F4C2C" w:rsidRDefault="008A0BDB" w:rsidP="002F0C95">
      <w:pPr>
        <w:pStyle w:val="ListParagraph"/>
        <w:numPr>
          <w:ilvl w:val="0"/>
          <w:numId w:val="1"/>
        </w:numPr>
        <w:ind w:left="706" w:right="-86" w:hanging="432"/>
        <w:rPr>
          <w:rFonts w:ascii="Arial" w:hAnsi="Arial" w:cs="Arial"/>
          <w:szCs w:val="24"/>
        </w:rPr>
      </w:pPr>
      <w:r w:rsidRPr="001071CB">
        <w:rPr>
          <w:rFonts w:ascii="Arial" w:hAnsi="Arial" w:cs="Arial"/>
          <w:szCs w:val="24"/>
        </w:rPr>
        <w:t>Section 1044</w:t>
      </w:r>
      <w:r w:rsidR="003F4C2C" w:rsidRPr="001071CB">
        <w:rPr>
          <w:rFonts w:ascii="Arial" w:hAnsi="Arial" w:cs="Arial"/>
          <w:szCs w:val="24"/>
        </w:rPr>
        <w:t xml:space="preserve"> – </w:t>
      </w:r>
      <w:r w:rsidRPr="001071CB">
        <w:rPr>
          <w:rFonts w:ascii="Arial" w:hAnsi="Arial" w:cs="Arial"/>
          <w:szCs w:val="24"/>
        </w:rPr>
        <w:t xml:space="preserve">Independent Peer Review.  The Review threshold was raised from $45 million to $200 million.  AAPA advocated to allow this provision to sunset in 2017 as past efforts did not show value for the cost and time to conduct this review. </w:t>
      </w:r>
    </w:p>
    <w:p w:rsidR="001071CB" w:rsidRPr="001071CB" w:rsidRDefault="001071CB" w:rsidP="002F0C95">
      <w:pPr>
        <w:pStyle w:val="ListParagraph"/>
        <w:numPr>
          <w:ilvl w:val="0"/>
          <w:numId w:val="1"/>
        </w:numPr>
        <w:ind w:left="706" w:right="-86" w:hanging="432"/>
        <w:rPr>
          <w:rFonts w:ascii="Arial" w:hAnsi="Arial" w:cs="Arial"/>
          <w:szCs w:val="24"/>
        </w:rPr>
      </w:pPr>
      <w:r>
        <w:rPr>
          <w:rFonts w:ascii="Arial" w:hAnsi="Arial" w:cs="Arial"/>
          <w:szCs w:val="24"/>
        </w:rPr>
        <w:t>Section 1051 – relates to a Sense of the Congress that a WRDA bill should be pass</w:t>
      </w:r>
      <w:r w:rsidR="00216C2D">
        <w:rPr>
          <w:rFonts w:ascii="Arial" w:hAnsi="Arial" w:cs="Arial"/>
          <w:szCs w:val="24"/>
        </w:rPr>
        <w:t>ed</w:t>
      </w:r>
      <w:r>
        <w:rPr>
          <w:rFonts w:ascii="Arial" w:hAnsi="Arial" w:cs="Arial"/>
          <w:szCs w:val="24"/>
        </w:rPr>
        <w:t xml:space="preserve"> not less than once every Congress. </w:t>
      </w:r>
    </w:p>
    <w:p w:rsidR="00FC1AA2" w:rsidRPr="001071CB" w:rsidRDefault="00FC1AA2" w:rsidP="00FC1AA2">
      <w:pPr>
        <w:pStyle w:val="ListParagraph"/>
        <w:ind w:left="706" w:right="-86"/>
        <w:rPr>
          <w:rFonts w:ascii="Arial" w:hAnsi="Arial" w:cs="Arial"/>
          <w:szCs w:val="24"/>
        </w:rPr>
      </w:pPr>
    </w:p>
    <w:p w:rsidR="003F4C2C" w:rsidRPr="001071CB" w:rsidRDefault="003F4C2C" w:rsidP="003F4C2C">
      <w:pPr>
        <w:rPr>
          <w:rFonts w:ascii="Arial" w:hAnsi="Arial" w:cs="Arial"/>
          <w:szCs w:val="24"/>
          <w:u w:val="single"/>
        </w:rPr>
      </w:pPr>
    </w:p>
    <w:p w:rsidR="003F4C2C" w:rsidRPr="001071CB" w:rsidRDefault="00BF5727" w:rsidP="003F4C2C">
      <w:pPr>
        <w:rPr>
          <w:rFonts w:ascii="Arial" w:hAnsi="Arial" w:cs="Arial"/>
          <w:szCs w:val="24"/>
          <w:u w:val="single"/>
        </w:rPr>
      </w:pPr>
      <w:r w:rsidRPr="001071CB">
        <w:rPr>
          <w:rFonts w:ascii="Arial" w:hAnsi="Arial" w:cs="Arial"/>
          <w:szCs w:val="24"/>
          <w:u w:val="single"/>
        </w:rPr>
        <w:lastRenderedPageBreak/>
        <w:t>Title 2, Navigation, Subtitl</w:t>
      </w:r>
      <w:r w:rsidR="008A0BDB" w:rsidRPr="001071CB">
        <w:rPr>
          <w:rFonts w:ascii="Arial" w:hAnsi="Arial" w:cs="Arial"/>
          <w:szCs w:val="24"/>
          <w:u w:val="single"/>
        </w:rPr>
        <w:t>e B – Port and Harbor Maintenance</w:t>
      </w:r>
    </w:p>
    <w:p w:rsidR="003F4C2C" w:rsidRPr="001071CB" w:rsidRDefault="003F4C2C" w:rsidP="003F4C2C">
      <w:pPr>
        <w:ind w:right="-90"/>
        <w:rPr>
          <w:rFonts w:ascii="Arial" w:hAnsi="Arial" w:cs="Arial"/>
          <w:szCs w:val="24"/>
          <w:u w:val="single"/>
        </w:rPr>
      </w:pPr>
    </w:p>
    <w:p w:rsidR="000750F9" w:rsidRPr="001071CB" w:rsidRDefault="000750F9" w:rsidP="008A0BDB">
      <w:pPr>
        <w:pStyle w:val="ListParagraph"/>
        <w:numPr>
          <w:ilvl w:val="0"/>
          <w:numId w:val="1"/>
        </w:numPr>
        <w:ind w:left="706" w:right="-86" w:hanging="432"/>
        <w:rPr>
          <w:rFonts w:ascii="Arial" w:hAnsi="Arial" w:cs="Arial"/>
          <w:szCs w:val="24"/>
        </w:rPr>
      </w:pPr>
      <w:r w:rsidRPr="001071CB">
        <w:rPr>
          <w:rFonts w:ascii="Arial" w:hAnsi="Arial" w:cs="Arial"/>
          <w:szCs w:val="24"/>
        </w:rPr>
        <w:t>Section 2101 – Funding and Harbor Maintenance Programs.  Establishes targets for future appropriations with increased annual amounts leading to full use of Harbor Maintenance Tax (HMT) revenues by fiscal year 2025</w:t>
      </w:r>
      <w:r w:rsidR="001071CB" w:rsidRPr="001071CB">
        <w:rPr>
          <w:rFonts w:ascii="Arial" w:hAnsi="Arial" w:cs="Arial"/>
          <w:szCs w:val="24"/>
        </w:rPr>
        <w:t>, although this provisi</w:t>
      </w:r>
      <w:r w:rsidR="001071CB">
        <w:rPr>
          <w:rFonts w:ascii="Arial" w:hAnsi="Arial" w:cs="Arial"/>
          <w:szCs w:val="24"/>
        </w:rPr>
        <w:t xml:space="preserve">on still requires yearly Appropriations. </w:t>
      </w:r>
      <w:r w:rsidRPr="001071CB">
        <w:rPr>
          <w:rFonts w:ascii="Arial" w:hAnsi="Arial" w:cs="Arial"/>
          <w:szCs w:val="24"/>
        </w:rPr>
        <w:t xml:space="preserve">  AAPA advocated for full use of HMT tax c</w:t>
      </w:r>
      <w:r w:rsidR="001071CB" w:rsidRPr="001071CB">
        <w:rPr>
          <w:rFonts w:ascii="Arial" w:hAnsi="Arial" w:cs="Arial"/>
          <w:szCs w:val="24"/>
        </w:rPr>
        <w:t>ollections</w:t>
      </w:r>
      <w:r w:rsidR="001071CB">
        <w:rPr>
          <w:rFonts w:ascii="Arial" w:hAnsi="Arial" w:cs="Arial"/>
          <w:szCs w:val="24"/>
        </w:rPr>
        <w:t xml:space="preserve"> and would have</w:t>
      </w:r>
      <w:r w:rsidR="00216C2D">
        <w:rPr>
          <w:rFonts w:ascii="Arial" w:hAnsi="Arial" w:cs="Arial"/>
          <w:szCs w:val="24"/>
        </w:rPr>
        <w:t xml:space="preserve"> preferred mandatory spending.</w:t>
      </w:r>
    </w:p>
    <w:p w:rsidR="000750F9" w:rsidRPr="001071CB" w:rsidRDefault="000750F9" w:rsidP="008A0BDB">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2102 – Operation and Maintenance of Harbor Projects.  </w:t>
      </w:r>
      <w:r w:rsidR="00FC1AA2" w:rsidRPr="001071CB">
        <w:rPr>
          <w:rFonts w:ascii="Arial" w:hAnsi="Arial" w:cs="Arial"/>
          <w:szCs w:val="24"/>
        </w:rPr>
        <w:t xml:space="preserve">Addresses expanded HMT use for donor ports, </w:t>
      </w:r>
      <w:r w:rsidR="001071CB" w:rsidRPr="001071CB">
        <w:rPr>
          <w:rFonts w:ascii="Arial" w:hAnsi="Arial" w:cs="Arial"/>
          <w:szCs w:val="24"/>
        </w:rPr>
        <w:t>an AAPA HMT Reform Principle</w:t>
      </w:r>
      <w:r w:rsidR="00FC1AA2" w:rsidRPr="001071CB">
        <w:rPr>
          <w:rFonts w:ascii="Arial" w:hAnsi="Arial" w:cs="Arial"/>
          <w:szCs w:val="24"/>
        </w:rPr>
        <w:t>.  It</w:t>
      </w:r>
      <w:r w:rsidR="001071CB" w:rsidRPr="001071CB">
        <w:rPr>
          <w:rFonts w:ascii="Arial" w:hAnsi="Arial" w:cs="Arial"/>
          <w:szCs w:val="24"/>
        </w:rPr>
        <w:t xml:space="preserve"> also </w:t>
      </w:r>
      <w:r w:rsidR="00FC1AA2" w:rsidRPr="001071CB">
        <w:rPr>
          <w:rFonts w:ascii="Arial" w:hAnsi="Arial" w:cs="Arial"/>
          <w:szCs w:val="24"/>
        </w:rPr>
        <w:t>r</w:t>
      </w:r>
      <w:r w:rsidRPr="001071CB">
        <w:rPr>
          <w:rFonts w:ascii="Arial" w:hAnsi="Arial" w:cs="Arial"/>
          <w:szCs w:val="24"/>
        </w:rPr>
        <w:t>evises the Corps of Engineers budget development process to extend beyond tonnage to consider national and regional significance, national securit</w:t>
      </w:r>
      <w:r w:rsidR="00D37A61" w:rsidRPr="001071CB">
        <w:rPr>
          <w:rFonts w:ascii="Arial" w:hAnsi="Arial" w:cs="Arial"/>
          <w:szCs w:val="24"/>
        </w:rPr>
        <w:t>y and military readiness. I</w:t>
      </w:r>
      <w:r w:rsidR="00FC1AA2" w:rsidRPr="001071CB">
        <w:rPr>
          <w:rFonts w:ascii="Arial" w:hAnsi="Arial" w:cs="Arial"/>
          <w:szCs w:val="24"/>
        </w:rPr>
        <w:t>t i</w:t>
      </w:r>
      <w:r w:rsidR="00D37A61" w:rsidRPr="001071CB">
        <w:rPr>
          <w:rFonts w:ascii="Arial" w:hAnsi="Arial" w:cs="Arial"/>
          <w:szCs w:val="24"/>
        </w:rPr>
        <w:t xml:space="preserve">ncludes funding carve-outs for emerging and Great Lakes harbors. </w:t>
      </w:r>
      <w:r w:rsidR="001071CB">
        <w:rPr>
          <w:rFonts w:ascii="Arial" w:hAnsi="Arial" w:cs="Arial"/>
          <w:szCs w:val="24"/>
        </w:rPr>
        <w:t xml:space="preserve"> It a</w:t>
      </w:r>
      <w:r w:rsidR="00D37A61" w:rsidRPr="001071CB">
        <w:rPr>
          <w:rFonts w:ascii="Arial" w:hAnsi="Arial" w:cs="Arial"/>
          <w:szCs w:val="24"/>
        </w:rPr>
        <w:t xml:space="preserve">lso established the term </w:t>
      </w:r>
      <w:r w:rsidR="00FC1AA2" w:rsidRPr="001071CB">
        <w:rPr>
          <w:rFonts w:ascii="Arial" w:hAnsi="Arial" w:cs="Arial"/>
          <w:szCs w:val="24"/>
        </w:rPr>
        <w:t>‘</w:t>
      </w:r>
      <w:r w:rsidR="00D37A61" w:rsidRPr="001071CB">
        <w:rPr>
          <w:rFonts w:ascii="Arial" w:hAnsi="Arial" w:cs="Arial"/>
          <w:szCs w:val="24"/>
        </w:rPr>
        <w:t>underserved harbors</w:t>
      </w:r>
      <w:r w:rsidR="00FC1AA2" w:rsidRPr="001071CB">
        <w:rPr>
          <w:rFonts w:ascii="Arial" w:hAnsi="Arial" w:cs="Arial"/>
          <w:szCs w:val="24"/>
        </w:rPr>
        <w:t>’</w:t>
      </w:r>
      <w:r w:rsidR="00D37A61" w:rsidRPr="001071CB">
        <w:rPr>
          <w:rFonts w:ascii="Arial" w:hAnsi="Arial" w:cs="Arial"/>
          <w:szCs w:val="24"/>
        </w:rPr>
        <w:t xml:space="preserve"> </w:t>
      </w:r>
      <w:r w:rsidR="007F0F66" w:rsidRPr="001071CB">
        <w:rPr>
          <w:rFonts w:ascii="Arial" w:hAnsi="Arial" w:cs="Arial"/>
          <w:szCs w:val="24"/>
        </w:rPr>
        <w:t xml:space="preserve">to compare the funds received to funds needed to fully maintain the channel.  </w:t>
      </w:r>
      <w:r w:rsidR="00372558" w:rsidRPr="001071CB">
        <w:rPr>
          <w:rFonts w:ascii="Arial" w:hAnsi="Arial" w:cs="Arial"/>
          <w:szCs w:val="24"/>
        </w:rPr>
        <w:t xml:space="preserve">A </w:t>
      </w:r>
      <w:hyperlink r:id="rId5" w:history="1">
        <w:r w:rsidR="00372558" w:rsidRPr="00216C2D">
          <w:rPr>
            <w:rStyle w:val="Hyperlink"/>
            <w:rFonts w:ascii="Arial" w:hAnsi="Arial" w:cs="Arial"/>
            <w:szCs w:val="24"/>
          </w:rPr>
          <w:t>flow chart</w:t>
        </w:r>
      </w:hyperlink>
      <w:r w:rsidR="00372558" w:rsidRPr="001071CB">
        <w:rPr>
          <w:rFonts w:ascii="Arial" w:hAnsi="Arial" w:cs="Arial"/>
          <w:szCs w:val="24"/>
        </w:rPr>
        <w:t xml:space="preserve"> has been developed to explain the </w:t>
      </w:r>
      <w:r w:rsidR="00216C2D">
        <w:rPr>
          <w:rFonts w:ascii="Arial" w:hAnsi="Arial" w:cs="Arial"/>
          <w:szCs w:val="24"/>
        </w:rPr>
        <w:t>funds distribution process.</w:t>
      </w:r>
    </w:p>
    <w:p w:rsidR="00F46D3D" w:rsidRPr="001071CB" w:rsidRDefault="00F46D3D" w:rsidP="008A0BDB">
      <w:pPr>
        <w:pStyle w:val="ListParagraph"/>
        <w:numPr>
          <w:ilvl w:val="0"/>
          <w:numId w:val="1"/>
        </w:numPr>
        <w:ind w:left="706" w:right="-86" w:hanging="432"/>
        <w:rPr>
          <w:rFonts w:ascii="Arial" w:hAnsi="Arial" w:cs="Arial"/>
          <w:szCs w:val="24"/>
        </w:rPr>
      </w:pPr>
      <w:r w:rsidRPr="001071CB">
        <w:rPr>
          <w:rFonts w:ascii="Arial" w:hAnsi="Arial" w:cs="Arial"/>
          <w:szCs w:val="24"/>
        </w:rPr>
        <w:t>Section 2012 – Operation and Maintenance of Harbor Projects.  The Section also revises the maintenance dredging cost</w:t>
      </w:r>
      <w:r w:rsidR="00216C2D">
        <w:rPr>
          <w:rFonts w:ascii="Arial" w:hAnsi="Arial" w:cs="Arial"/>
          <w:szCs w:val="24"/>
        </w:rPr>
        <w:t>-</w:t>
      </w:r>
      <w:r w:rsidRPr="001071CB">
        <w:rPr>
          <w:rFonts w:ascii="Arial" w:hAnsi="Arial" w:cs="Arial"/>
          <w:szCs w:val="24"/>
        </w:rPr>
        <w:t>share threshold from 45 to 50 feet.  AAPA has long advocated for this change</w:t>
      </w:r>
      <w:r w:rsidR="001071CB">
        <w:rPr>
          <w:rFonts w:ascii="Arial" w:hAnsi="Arial" w:cs="Arial"/>
          <w:szCs w:val="24"/>
        </w:rPr>
        <w:t xml:space="preserve"> in both the maintenance and deepening areas. </w:t>
      </w:r>
      <w:r w:rsidRPr="001071CB">
        <w:rPr>
          <w:rFonts w:ascii="Arial" w:hAnsi="Arial" w:cs="Arial"/>
          <w:szCs w:val="24"/>
        </w:rPr>
        <w:t xml:space="preserve">  </w:t>
      </w:r>
    </w:p>
    <w:p w:rsidR="000750F9" w:rsidRPr="001071CB" w:rsidRDefault="008A0BDB" w:rsidP="008A0BDB">
      <w:pPr>
        <w:pStyle w:val="ListParagraph"/>
        <w:numPr>
          <w:ilvl w:val="0"/>
          <w:numId w:val="1"/>
        </w:numPr>
        <w:ind w:left="706" w:right="-86" w:hanging="432"/>
        <w:rPr>
          <w:rFonts w:ascii="Arial" w:hAnsi="Arial" w:cs="Arial"/>
          <w:szCs w:val="24"/>
        </w:rPr>
      </w:pPr>
      <w:r w:rsidRPr="001071CB">
        <w:rPr>
          <w:rFonts w:ascii="Arial" w:hAnsi="Arial" w:cs="Arial"/>
          <w:szCs w:val="24"/>
        </w:rPr>
        <w:t>Section 2103 – Consolidation of Deep Draft Navigation Expertise</w:t>
      </w:r>
      <w:r w:rsidR="000750F9" w:rsidRPr="001071CB">
        <w:rPr>
          <w:rFonts w:ascii="Arial" w:hAnsi="Arial" w:cs="Arial"/>
          <w:szCs w:val="24"/>
        </w:rPr>
        <w:t xml:space="preserve">.  Directed consolidation of expertise at the Center.  </w:t>
      </w:r>
      <w:r w:rsidR="00D37A61" w:rsidRPr="001071CB">
        <w:rPr>
          <w:rFonts w:ascii="Arial" w:hAnsi="Arial" w:cs="Arial"/>
          <w:szCs w:val="24"/>
        </w:rPr>
        <w:t xml:space="preserve">AAPA advocated for this Center. </w:t>
      </w:r>
    </w:p>
    <w:p w:rsidR="00BF5727" w:rsidRPr="001071CB" w:rsidRDefault="00BF5727" w:rsidP="008A0BDB">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2104 – Remote and Subsistence Harbors.  Added Alaska by name and established prioritization for these projects.  </w:t>
      </w:r>
    </w:p>
    <w:p w:rsidR="00BF5727" w:rsidRPr="001071CB" w:rsidRDefault="00BF5727" w:rsidP="008A0BDB">
      <w:pPr>
        <w:pStyle w:val="ListParagraph"/>
        <w:numPr>
          <w:ilvl w:val="0"/>
          <w:numId w:val="1"/>
        </w:numPr>
        <w:ind w:left="706" w:right="-86" w:hanging="432"/>
        <w:rPr>
          <w:rFonts w:ascii="Arial" w:hAnsi="Arial" w:cs="Arial"/>
          <w:szCs w:val="24"/>
        </w:rPr>
      </w:pPr>
      <w:r w:rsidRPr="001071CB">
        <w:rPr>
          <w:rFonts w:ascii="Arial" w:hAnsi="Arial" w:cs="Arial"/>
          <w:szCs w:val="24"/>
        </w:rPr>
        <w:t xml:space="preserve">Section 2106 – Additional Measures at Donor Ports and Energy Transfer Points.  </w:t>
      </w:r>
      <w:r w:rsidR="00FC1AA2" w:rsidRPr="001071CB">
        <w:rPr>
          <w:rFonts w:ascii="Arial" w:hAnsi="Arial" w:cs="Arial"/>
          <w:szCs w:val="24"/>
        </w:rPr>
        <w:t xml:space="preserve">This further addresses the donor equity issue in AAPA’s HMT Principles.  </w:t>
      </w:r>
      <w:r w:rsidRPr="001071CB">
        <w:rPr>
          <w:rFonts w:ascii="Arial" w:hAnsi="Arial" w:cs="Arial"/>
          <w:szCs w:val="24"/>
        </w:rPr>
        <w:t xml:space="preserve">Authorizes $50 million to be appropriated in fiscal years </w:t>
      </w:r>
      <w:r w:rsidR="00372558" w:rsidRPr="001071CB">
        <w:rPr>
          <w:rFonts w:ascii="Arial" w:hAnsi="Arial" w:cs="Arial"/>
          <w:szCs w:val="24"/>
        </w:rPr>
        <w:t xml:space="preserve">2015 through 2018.  </w:t>
      </w:r>
      <w:r w:rsidR="007F0F66" w:rsidRPr="001071CB">
        <w:rPr>
          <w:rFonts w:ascii="Arial" w:hAnsi="Arial" w:cs="Arial"/>
          <w:szCs w:val="24"/>
        </w:rPr>
        <w:t xml:space="preserve">This Section has a different definition for Donor Port than Section 2102, with fewer ports qualifying.  Funds appropriated under this authorization are to be evenly divided between Energy Transfer and Donor ports.  </w:t>
      </w:r>
    </w:p>
    <w:p w:rsidR="007F0F66" w:rsidRPr="001071CB" w:rsidRDefault="007F0F66" w:rsidP="007F0F66">
      <w:pPr>
        <w:ind w:right="-86"/>
        <w:rPr>
          <w:rFonts w:ascii="Arial" w:hAnsi="Arial" w:cs="Arial"/>
          <w:szCs w:val="24"/>
        </w:rPr>
      </w:pPr>
    </w:p>
    <w:p w:rsidR="007F0F66" w:rsidRPr="001071CB" w:rsidRDefault="007F0F66" w:rsidP="007F0F66">
      <w:pPr>
        <w:pStyle w:val="ListParagraph"/>
        <w:rPr>
          <w:rFonts w:ascii="Arial" w:hAnsi="Arial" w:cs="Arial"/>
          <w:szCs w:val="24"/>
        </w:rPr>
      </w:pPr>
    </w:p>
    <w:p w:rsidR="007F0F66" w:rsidRPr="001071CB" w:rsidRDefault="007F0F66" w:rsidP="007F0F66">
      <w:pPr>
        <w:ind w:right="-86"/>
        <w:rPr>
          <w:rFonts w:ascii="Arial" w:hAnsi="Arial" w:cs="Arial"/>
          <w:szCs w:val="24"/>
        </w:rPr>
      </w:pPr>
      <w:r w:rsidRPr="001071CB">
        <w:rPr>
          <w:rFonts w:ascii="Arial" w:hAnsi="Arial" w:cs="Arial"/>
          <w:szCs w:val="24"/>
        </w:rPr>
        <w:t>Title V – Water Infrastructure Financing, Subsection C – Innovative Financing Pilot Projects</w:t>
      </w:r>
    </w:p>
    <w:p w:rsidR="00F46D3D" w:rsidRPr="001071CB" w:rsidRDefault="00F46D3D" w:rsidP="007F0F66">
      <w:pPr>
        <w:ind w:right="-86"/>
        <w:rPr>
          <w:rFonts w:ascii="Arial" w:hAnsi="Arial" w:cs="Arial"/>
          <w:szCs w:val="24"/>
        </w:rPr>
      </w:pPr>
    </w:p>
    <w:p w:rsidR="007F0F66" w:rsidRPr="001071CB" w:rsidRDefault="00F46D3D" w:rsidP="00F46D3D">
      <w:pPr>
        <w:pStyle w:val="ListParagraph"/>
        <w:numPr>
          <w:ilvl w:val="0"/>
          <w:numId w:val="2"/>
        </w:numPr>
        <w:ind w:right="-86"/>
        <w:rPr>
          <w:rFonts w:ascii="Arial" w:hAnsi="Arial" w:cs="Arial"/>
          <w:szCs w:val="24"/>
        </w:rPr>
      </w:pPr>
      <w:r w:rsidRPr="001071CB">
        <w:rPr>
          <w:rFonts w:ascii="Arial" w:hAnsi="Arial" w:cs="Arial"/>
          <w:szCs w:val="24"/>
        </w:rPr>
        <w:t>Section 5021 – Water Infrastructure Finance and Innovation Act of 2014 (WIFIA)</w:t>
      </w:r>
    </w:p>
    <w:p w:rsidR="00F46D3D" w:rsidRDefault="00F46D3D" w:rsidP="00F46D3D">
      <w:pPr>
        <w:pStyle w:val="ListParagraph"/>
        <w:numPr>
          <w:ilvl w:val="0"/>
          <w:numId w:val="2"/>
        </w:numPr>
        <w:ind w:right="-86"/>
        <w:rPr>
          <w:rFonts w:ascii="Arial" w:hAnsi="Arial" w:cs="Arial"/>
          <w:szCs w:val="24"/>
        </w:rPr>
      </w:pPr>
      <w:r w:rsidRPr="001071CB">
        <w:rPr>
          <w:rFonts w:ascii="Arial" w:hAnsi="Arial" w:cs="Arial"/>
          <w:szCs w:val="24"/>
        </w:rPr>
        <w:t xml:space="preserve">Section 5022 – Definitions.  Program will be administrated by the </w:t>
      </w:r>
      <w:r w:rsidR="00216C2D">
        <w:rPr>
          <w:rFonts w:ascii="Arial" w:hAnsi="Arial" w:cs="Arial"/>
          <w:szCs w:val="24"/>
        </w:rPr>
        <w:t>Environmental Protection Agency</w:t>
      </w:r>
      <w:r w:rsidRPr="001071CB">
        <w:rPr>
          <w:rFonts w:ascii="Arial" w:hAnsi="Arial" w:cs="Arial"/>
          <w:szCs w:val="24"/>
        </w:rPr>
        <w:t xml:space="preserve">  </w:t>
      </w:r>
    </w:p>
    <w:p w:rsidR="00BD3614" w:rsidRDefault="00BD3614" w:rsidP="00BD3614">
      <w:pPr>
        <w:ind w:right="-86"/>
        <w:rPr>
          <w:rFonts w:ascii="Arial" w:hAnsi="Arial" w:cs="Arial"/>
          <w:szCs w:val="24"/>
        </w:rPr>
      </w:pPr>
    </w:p>
    <w:p w:rsidR="00BD3614" w:rsidRPr="00BD3614" w:rsidRDefault="00BD3614" w:rsidP="00BD3614">
      <w:pPr>
        <w:ind w:right="-86"/>
        <w:rPr>
          <w:rFonts w:ascii="Arial" w:hAnsi="Arial" w:cs="Arial"/>
          <w:szCs w:val="24"/>
        </w:rPr>
      </w:pPr>
      <w:r>
        <w:rPr>
          <w:rFonts w:ascii="Arial" w:hAnsi="Arial" w:cs="Arial"/>
          <w:szCs w:val="24"/>
        </w:rPr>
        <w:t>The bill also includes provision</w:t>
      </w:r>
      <w:r w:rsidR="008E12F6">
        <w:rPr>
          <w:rFonts w:ascii="Arial" w:hAnsi="Arial" w:cs="Arial"/>
          <w:szCs w:val="24"/>
        </w:rPr>
        <w:t>s to d</w:t>
      </w:r>
      <w:r>
        <w:rPr>
          <w:rFonts w:ascii="Arial" w:hAnsi="Arial" w:cs="Arial"/>
          <w:szCs w:val="24"/>
        </w:rPr>
        <w:t>e</w:t>
      </w:r>
      <w:r w:rsidR="008E12F6">
        <w:rPr>
          <w:rFonts w:ascii="Arial" w:hAnsi="Arial" w:cs="Arial"/>
          <w:szCs w:val="24"/>
        </w:rPr>
        <w:t>-</w:t>
      </w:r>
      <w:r>
        <w:rPr>
          <w:rFonts w:ascii="Arial" w:hAnsi="Arial" w:cs="Arial"/>
          <w:szCs w:val="24"/>
        </w:rPr>
        <w:t>authorize inactive projects, sunset new authorizati</w:t>
      </w:r>
      <w:r w:rsidR="008E12F6">
        <w:rPr>
          <w:rFonts w:ascii="Arial" w:hAnsi="Arial" w:cs="Arial"/>
          <w:szCs w:val="24"/>
        </w:rPr>
        <w:t xml:space="preserve">ons to prevent project backlogs, project modifications </w:t>
      </w:r>
      <w:r>
        <w:rPr>
          <w:rFonts w:ascii="Arial" w:hAnsi="Arial" w:cs="Arial"/>
          <w:szCs w:val="24"/>
        </w:rPr>
        <w:t>and authorize feasibility studies</w:t>
      </w:r>
      <w:r w:rsidR="00216C2D">
        <w:rPr>
          <w:rFonts w:ascii="Arial" w:hAnsi="Arial" w:cs="Arial"/>
          <w:szCs w:val="24"/>
        </w:rPr>
        <w:t>,</w:t>
      </w:r>
      <w:r>
        <w:rPr>
          <w:rFonts w:ascii="Arial" w:hAnsi="Arial" w:cs="Arial"/>
          <w:szCs w:val="24"/>
        </w:rPr>
        <w:t xml:space="preserve"> including eight navigation projects totaling $2 billion in federal support. </w:t>
      </w:r>
    </w:p>
    <w:p w:rsidR="007F0F66" w:rsidRPr="001071CB" w:rsidRDefault="007F0F66" w:rsidP="007F0F66">
      <w:pPr>
        <w:ind w:right="-86"/>
        <w:rPr>
          <w:rFonts w:ascii="Arial" w:hAnsi="Arial" w:cs="Arial"/>
          <w:szCs w:val="24"/>
        </w:rPr>
      </w:pPr>
    </w:p>
    <w:p w:rsidR="007F0F66" w:rsidRPr="001071CB" w:rsidRDefault="007F0F66" w:rsidP="007F0F66">
      <w:pPr>
        <w:ind w:right="-86"/>
        <w:rPr>
          <w:rFonts w:ascii="Arial" w:hAnsi="Arial" w:cs="Arial"/>
          <w:szCs w:val="24"/>
        </w:rPr>
      </w:pPr>
      <w:bookmarkStart w:id="0" w:name="_GoBack"/>
      <w:bookmarkEnd w:id="0"/>
    </w:p>
    <w:sectPr w:rsidR="007F0F66" w:rsidRPr="0010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488C"/>
    <w:multiLevelType w:val="hybridMultilevel"/>
    <w:tmpl w:val="C70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730F4"/>
    <w:multiLevelType w:val="hybridMultilevel"/>
    <w:tmpl w:val="889C60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2C"/>
    <w:rsid w:val="000750F9"/>
    <w:rsid w:val="001071CB"/>
    <w:rsid w:val="00133EE7"/>
    <w:rsid w:val="00216C2D"/>
    <w:rsid w:val="002F41B3"/>
    <w:rsid w:val="00372558"/>
    <w:rsid w:val="003F4C2C"/>
    <w:rsid w:val="004D43FC"/>
    <w:rsid w:val="005B0DBB"/>
    <w:rsid w:val="00634DD2"/>
    <w:rsid w:val="006B37E5"/>
    <w:rsid w:val="007F0F66"/>
    <w:rsid w:val="007F3412"/>
    <w:rsid w:val="00805109"/>
    <w:rsid w:val="008A0BDB"/>
    <w:rsid w:val="008E12F6"/>
    <w:rsid w:val="008F1B39"/>
    <w:rsid w:val="00B10DD5"/>
    <w:rsid w:val="00B679CF"/>
    <w:rsid w:val="00BD3614"/>
    <w:rsid w:val="00BF5727"/>
    <w:rsid w:val="00C8678B"/>
    <w:rsid w:val="00D37A61"/>
    <w:rsid w:val="00ED7A09"/>
    <w:rsid w:val="00F46D3D"/>
    <w:rsid w:val="00FC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6EBF8-746C-4FA9-AE00-83C060F8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2C"/>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4C2C"/>
    <w:pPr>
      <w:ind w:left="720"/>
      <w:contextualSpacing/>
    </w:pPr>
  </w:style>
  <w:style w:type="character" w:styleId="Hyperlink">
    <w:name w:val="Hyperlink"/>
    <w:basedOn w:val="DefaultParagraphFont"/>
    <w:uiPriority w:val="99"/>
    <w:unhideWhenUsed/>
    <w:rsid w:val="0021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pa.files.cms-plus.com/2014WRRDAsection2102Logo.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Walker</dc:creator>
  <cp:keywords/>
  <dc:description/>
  <cp:lastModifiedBy>Lois McKuhen</cp:lastModifiedBy>
  <cp:revision>2</cp:revision>
  <dcterms:created xsi:type="dcterms:W3CDTF">2014-05-20T20:27:00Z</dcterms:created>
  <dcterms:modified xsi:type="dcterms:W3CDTF">2014-05-20T20:27:00Z</dcterms:modified>
</cp:coreProperties>
</file>