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28C" w:rsidRDefault="00A1128C" w:rsidP="00A1128C">
      <w:pPr>
        <w:autoSpaceDE w:val="0"/>
        <w:autoSpaceDN w:val="0"/>
        <w:adjustRightInd w:val="0"/>
        <w:spacing w:after="0" w:line="240" w:lineRule="auto"/>
        <w:jc w:val="center"/>
        <w:rPr>
          <w:rFonts w:ascii="Times New Roman" w:hAnsi="Times New Roman" w:cs="Times New Roman"/>
          <w:b/>
          <w:sz w:val="24"/>
          <w:szCs w:val="24"/>
        </w:rPr>
      </w:pPr>
    </w:p>
    <w:p w:rsidR="00A1128C" w:rsidRDefault="00A1128C" w:rsidP="00A1128C">
      <w:pPr>
        <w:autoSpaceDE w:val="0"/>
        <w:autoSpaceDN w:val="0"/>
        <w:adjustRightInd w:val="0"/>
        <w:spacing w:after="0" w:line="240" w:lineRule="auto"/>
        <w:jc w:val="center"/>
        <w:rPr>
          <w:rFonts w:ascii="Times New Roman" w:hAnsi="Times New Roman" w:cs="Times New Roman"/>
          <w:b/>
          <w:sz w:val="24"/>
          <w:szCs w:val="24"/>
        </w:rPr>
      </w:pPr>
    </w:p>
    <w:p w:rsidR="00A1128C" w:rsidRDefault="00A1128C" w:rsidP="00A1128C">
      <w:pPr>
        <w:autoSpaceDE w:val="0"/>
        <w:autoSpaceDN w:val="0"/>
        <w:adjustRightInd w:val="0"/>
        <w:spacing w:after="0" w:line="240" w:lineRule="auto"/>
        <w:jc w:val="center"/>
        <w:rPr>
          <w:rFonts w:ascii="Times New Roman" w:hAnsi="Times New Roman" w:cs="Times New Roman"/>
          <w:b/>
          <w:sz w:val="24"/>
          <w:szCs w:val="24"/>
        </w:rPr>
      </w:pPr>
    </w:p>
    <w:p w:rsidR="00A1128C" w:rsidRDefault="00A1128C" w:rsidP="00A1128C">
      <w:pPr>
        <w:autoSpaceDE w:val="0"/>
        <w:autoSpaceDN w:val="0"/>
        <w:adjustRightInd w:val="0"/>
        <w:spacing w:after="0" w:line="240" w:lineRule="auto"/>
        <w:jc w:val="center"/>
        <w:rPr>
          <w:rFonts w:ascii="Times New Roman" w:hAnsi="Times New Roman" w:cs="Times New Roman"/>
          <w:b/>
          <w:sz w:val="24"/>
          <w:szCs w:val="24"/>
        </w:rPr>
      </w:pPr>
    </w:p>
    <w:p w:rsidR="00A1128C" w:rsidRDefault="00A1128C" w:rsidP="00A1128C">
      <w:pPr>
        <w:autoSpaceDE w:val="0"/>
        <w:autoSpaceDN w:val="0"/>
        <w:adjustRightInd w:val="0"/>
        <w:spacing w:after="0" w:line="240" w:lineRule="auto"/>
        <w:jc w:val="center"/>
        <w:rPr>
          <w:rFonts w:ascii="LucidaGrande-Bold" w:hAnsi="LucidaGrande-Bold" w:cs="LucidaGrande-Bold"/>
          <w:b/>
          <w:bCs/>
          <w:sz w:val="56"/>
          <w:szCs w:val="56"/>
        </w:rPr>
      </w:pPr>
      <w:r>
        <w:rPr>
          <w:rFonts w:ascii="LucidaGrande-Bold" w:hAnsi="LucidaGrande-Bold" w:cs="LucidaGrande-Bold"/>
          <w:b/>
          <w:bCs/>
          <w:sz w:val="56"/>
          <w:szCs w:val="56"/>
        </w:rPr>
        <w:t>AAPA Maritime Economic</w:t>
      </w:r>
    </w:p>
    <w:p w:rsidR="00A1128C" w:rsidRDefault="00A1128C" w:rsidP="00A1128C">
      <w:pPr>
        <w:autoSpaceDE w:val="0"/>
        <w:autoSpaceDN w:val="0"/>
        <w:adjustRightInd w:val="0"/>
        <w:spacing w:after="0" w:line="240" w:lineRule="auto"/>
        <w:jc w:val="center"/>
        <w:rPr>
          <w:rFonts w:ascii="LucidaGrande-Bold" w:hAnsi="LucidaGrande-Bold" w:cs="LucidaGrande-Bold"/>
          <w:b/>
          <w:bCs/>
          <w:sz w:val="56"/>
          <w:szCs w:val="56"/>
        </w:rPr>
      </w:pPr>
      <w:r>
        <w:rPr>
          <w:rFonts w:ascii="LucidaGrande-Bold" w:hAnsi="LucidaGrande-Bold" w:cs="LucidaGrande-Bold"/>
          <w:b/>
          <w:bCs/>
          <w:sz w:val="56"/>
          <w:szCs w:val="56"/>
        </w:rPr>
        <w:t>Development Committee</w:t>
      </w:r>
    </w:p>
    <w:p w:rsidR="00A1128C" w:rsidRDefault="00A1128C" w:rsidP="00A1128C">
      <w:pPr>
        <w:autoSpaceDE w:val="0"/>
        <w:autoSpaceDN w:val="0"/>
        <w:adjustRightInd w:val="0"/>
        <w:spacing w:after="0" w:line="240" w:lineRule="auto"/>
        <w:jc w:val="center"/>
        <w:rPr>
          <w:rFonts w:ascii="LucidaGrande" w:hAnsi="LucidaGrande" w:cs="LucidaGrande"/>
          <w:sz w:val="36"/>
          <w:szCs w:val="36"/>
        </w:rPr>
      </w:pPr>
      <w:r>
        <w:rPr>
          <w:rFonts w:ascii="LucidaGrande" w:hAnsi="LucidaGrande" w:cs="LucidaGrande"/>
          <w:sz w:val="36"/>
          <w:szCs w:val="36"/>
        </w:rPr>
        <w:t>(MEDC)</w:t>
      </w:r>
    </w:p>
    <w:p w:rsidR="00A1128C" w:rsidRDefault="00A1128C" w:rsidP="00A1128C">
      <w:pPr>
        <w:autoSpaceDE w:val="0"/>
        <w:autoSpaceDN w:val="0"/>
        <w:adjustRightInd w:val="0"/>
        <w:spacing w:after="0" w:line="240" w:lineRule="auto"/>
        <w:jc w:val="center"/>
        <w:rPr>
          <w:rFonts w:ascii="LucidaGrande-Bold" w:hAnsi="LucidaGrande-Bold" w:cs="LucidaGrande-Bold"/>
          <w:b/>
          <w:bCs/>
          <w:sz w:val="48"/>
          <w:szCs w:val="48"/>
        </w:rPr>
      </w:pPr>
    </w:p>
    <w:p w:rsidR="00A1128C" w:rsidRDefault="00A1128C" w:rsidP="00A1128C">
      <w:pPr>
        <w:autoSpaceDE w:val="0"/>
        <w:autoSpaceDN w:val="0"/>
        <w:adjustRightInd w:val="0"/>
        <w:spacing w:after="0" w:line="240" w:lineRule="auto"/>
        <w:jc w:val="center"/>
        <w:rPr>
          <w:rFonts w:ascii="LucidaGrande-Bold" w:hAnsi="LucidaGrande-Bold" w:cs="LucidaGrande-Bold"/>
          <w:b/>
          <w:bCs/>
          <w:sz w:val="48"/>
          <w:szCs w:val="48"/>
        </w:rPr>
      </w:pPr>
    </w:p>
    <w:p w:rsidR="00A1128C" w:rsidRDefault="00A1128C" w:rsidP="00A1128C">
      <w:pPr>
        <w:autoSpaceDE w:val="0"/>
        <w:autoSpaceDN w:val="0"/>
        <w:adjustRightInd w:val="0"/>
        <w:spacing w:after="0" w:line="240" w:lineRule="auto"/>
        <w:jc w:val="center"/>
        <w:rPr>
          <w:rFonts w:ascii="LucidaGrande-Bold" w:hAnsi="LucidaGrande-Bold" w:cs="LucidaGrande-Bold"/>
          <w:b/>
          <w:bCs/>
          <w:sz w:val="48"/>
          <w:szCs w:val="48"/>
        </w:rPr>
      </w:pPr>
    </w:p>
    <w:p w:rsidR="00A1128C" w:rsidRDefault="00A1128C" w:rsidP="00A1128C">
      <w:pPr>
        <w:autoSpaceDE w:val="0"/>
        <w:autoSpaceDN w:val="0"/>
        <w:adjustRightInd w:val="0"/>
        <w:spacing w:after="0" w:line="240" w:lineRule="auto"/>
        <w:jc w:val="center"/>
        <w:rPr>
          <w:rFonts w:ascii="LucidaGrande-Bold" w:hAnsi="LucidaGrande-Bold" w:cs="LucidaGrande-Bold"/>
          <w:b/>
          <w:bCs/>
          <w:sz w:val="48"/>
          <w:szCs w:val="48"/>
        </w:rPr>
      </w:pPr>
    </w:p>
    <w:p w:rsidR="00A1128C" w:rsidRDefault="00A1128C" w:rsidP="00A1128C">
      <w:pPr>
        <w:autoSpaceDE w:val="0"/>
        <w:autoSpaceDN w:val="0"/>
        <w:adjustRightInd w:val="0"/>
        <w:spacing w:after="0" w:line="240" w:lineRule="auto"/>
        <w:jc w:val="center"/>
        <w:rPr>
          <w:rFonts w:ascii="LucidaGrande-Bold" w:hAnsi="LucidaGrande-Bold" w:cs="LucidaGrande-Bold"/>
          <w:b/>
          <w:bCs/>
          <w:sz w:val="48"/>
          <w:szCs w:val="48"/>
        </w:rPr>
      </w:pPr>
    </w:p>
    <w:p w:rsidR="00A1128C" w:rsidRDefault="00A1128C" w:rsidP="00A1128C">
      <w:pPr>
        <w:autoSpaceDE w:val="0"/>
        <w:autoSpaceDN w:val="0"/>
        <w:adjustRightInd w:val="0"/>
        <w:spacing w:after="0" w:line="240" w:lineRule="auto"/>
        <w:jc w:val="center"/>
        <w:rPr>
          <w:rFonts w:ascii="LucidaGrande-Bold" w:hAnsi="LucidaGrande-Bold" w:cs="LucidaGrande-Bold"/>
          <w:b/>
          <w:bCs/>
          <w:sz w:val="48"/>
          <w:szCs w:val="48"/>
        </w:rPr>
      </w:pPr>
    </w:p>
    <w:p w:rsidR="00A1128C" w:rsidRDefault="00A1128C" w:rsidP="00A1128C">
      <w:pPr>
        <w:autoSpaceDE w:val="0"/>
        <w:autoSpaceDN w:val="0"/>
        <w:adjustRightInd w:val="0"/>
        <w:spacing w:after="0" w:line="240" w:lineRule="auto"/>
        <w:jc w:val="center"/>
        <w:rPr>
          <w:rFonts w:ascii="LucidaGrande-Bold" w:hAnsi="LucidaGrande-Bold" w:cs="LucidaGrande-Bold"/>
          <w:b/>
          <w:bCs/>
          <w:sz w:val="48"/>
          <w:szCs w:val="48"/>
        </w:rPr>
      </w:pPr>
      <w:r>
        <w:rPr>
          <w:rFonts w:ascii="LucidaGrande-Bold" w:hAnsi="LucidaGrande-Bold" w:cs="LucidaGrande-Bold"/>
          <w:b/>
          <w:bCs/>
          <w:sz w:val="48"/>
          <w:szCs w:val="48"/>
        </w:rPr>
        <w:t>Real Estate Best Practices Group</w:t>
      </w:r>
    </w:p>
    <w:p w:rsidR="00A1128C" w:rsidRDefault="00A1128C" w:rsidP="00A1128C">
      <w:pPr>
        <w:autoSpaceDE w:val="0"/>
        <w:autoSpaceDN w:val="0"/>
        <w:adjustRightInd w:val="0"/>
        <w:spacing w:after="0" w:line="240" w:lineRule="auto"/>
        <w:jc w:val="center"/>
        <w:rPr>
          <w:rFonts w:ascii="LucidaGrande" w:hAnsi="LucidaGrande" w:cs="LucidaGrande"/>
          <w:sz w:val="28"/>
          <w:szCs w:val="28"/>
        </w:rPr>
      </w:pPr>
      <w:r>
        <w:rPr>
          <w:rFonts w:ascii="LucidaGrande" w:hAnsi="LucidaGrande" w:cs="LucidaGrande"/>
          <w:sz w:val="28"/>
          <w:szCs w:val="28"/>
        </w:rPr>
        <w:t>Lease Structure Group</w:t>
      </w:r>
    </w:p>
    <w:p w:rsidR="00A1128C" w:rsidRDefault="00A1128C" w:rsidP="00A1128C">
      <w:pPr>
        <w:autoSpaceDE w:val="0"/>
        <w:autoSpaceDN w:val="0"/>
        <w:adjustRightInd w:val="0"/>
        <w:spacing w:after="0" w:line="240" w:lineRule="auto"/>
        <w:jc w:val="center"/>
        <w:rPr>
          <w:rFonts w:ascii="LucidaGrande" w:hAnsi="LucidaGrande" w:cs="LucidaGrande"/>
          <w:sz w:val="28"/>
          <w:szCs w:val="28"/>
        </w:rPr>
      </w:pPr>
      <w:r>
        <w:rPr>
          <w:rFonts w:ascii="LucidaGrande" w:hAnsi="LucidaGrande" w:cs="LucidaGrande"/>
          <w:sz w:val="28"/>
          <w:szCs w:val="28"/>
        </w:rPr>
        <w:t>Whitepaper</w:t>
      </w:r>
      <w:r>
        <w:rPr>
          <w:rFonts w:ascii="LucidaGrande" w:hAnsi="LucidaGrande" w:cs="LucidaGrande"/>
          <w:sz w:val="28"/>
          <w:szCs w:val="28"/>
        </w:rPr>
        <w:t xml:space="preserve"> (Draft)</w:t>
      </w:r>
    </w:p>
    <w:p w:rsidR="00A1128C" w:rsidRDefault="00A1128C" w:rsidP="00A1128C">
      <w:pPr>
        <w:autoSpaceDE w:val="0"/>
        <w:autoSpaceDN w:val="0"/>
        <w:adjustRightInd w:val="0"/>
        <w:spacing w:after="0" w:line="240" w:lineRule="auto"/>
        <w:jc w:val="center"/>
        <w:rPr>
          <w:rFonts w:ascii="LucidaGrande-Bold" w:hAnsi="LucidaGrande-Bold" w:cs="LucidaGrande-Bold"/>
          <w:b/>
          <w:bCs/>
          <w:sz w:val="24"/>
          <w:szCs w:val="24"/>
        </w:rPr>
      </w:pPr>
    </w:p>
    <w:p w:rsidR="00A1128C" w:rsidRDefault="00A1128C" w:rsidP="00A1128C">
      <w:pPr>
        <w:autoSpaceDE w:val="0"/>
        <w:autoSpaceDN w:val="0"/>
        <w:adjustRightInd w:val="0"/>
        <w:spacing w:after="0" w:line="240" w:lineRule="auto"/>
        <w:jc w:val="center"/>
        <w:rPr>
          <w:rFonts w:ascii="LucidaGrande-Bold" w:hAnsi="LucidaGrande-Bold" w:cs="LucidaGrande-Bold"/>
          <w:b/>
          <w:bCs/>
          <w:sz w:val="24"/>
          <w:szCs w:val="24"/>
        </w:rPr>
      </w:pPr>
    </w:p>
    <w:p w:rsidR="00A1128C" w:rsidRDefault="00A1128C" w:rsidP="00A1128C">
      <w:pPr>
        <w:autoSpaceDE w:val="0"/>
        <w:autoSpaceDN w:val="0"/>
        <w:adjustRightInd w:val="0"/>
        <w:spacing w:after="0" w:line="240" w:lineRule="auto"/>
        <w:jc w:val="center"/>
        <w:rPr>
          <w:rFonts w:ascii="LucidaGrande-Bold" w:hAnsi="LucidaGrande-Bold" w:cs="LucidaGrande-Bold"/>
          <w:b/>
          <w:bCs/>
          <w:sz w:val="24"/>
          <w:szCs w:val="24"/>
        </w:rPr>
      </w:pPr>
    </w:p>
    <w:p w:rsidR="00A1128C" w:rsidRDefault="00A1128C" w:rsidP="00A1128C">
      <w:pPr>
        <w:autoSpaceDE w:val="0"/>
        <w:autoSpaceDN w:val="0"/>
        <w:adjustRightInd w:val="0"/>
        <w:spacing w:after="0" w:line="240" w:lineRule="auto"/>
        <w:jc w:val="center"/>
        <w:rPr>
          <w:rFonts w:ascii="LucidaGrande-Bold" w:hAnsi="LucidaGrande-Bold" w:cs="LucidaGrande-Bold"/>
          <w:b/>
          <w:bCs/>
          <w:sz w:val="24"/>
          <w:szCs w:val="24"/>
        </w:rPr>
      </w:pPr>
    </w:p>
    <w:p w:rsidR="00A1128C" w:rsidRDefault="00A1128C" w:rsidP="00A1128C">
      <w:pPr>
        <w:autoSpaceDE w:val="0"/>
        <w:autoSpaceDN w:val="0"/>
        <w:adjustRightInd w:val="0"/>
        <w:spacing w:after="0" w:line="240" w:lineRule="auto"/>
        <w:jc w:val="center"/>
        <w:rPr>
          <w:rFonts w:ascii="LucidaGrande-Bold" w:hAnsi="LucidaGrande-Bold" w:cs="LucidaGrande-Bold"/>
          <w:b/>
          <w:bCs/>
          <w:sz w:val="24"/>
          <w:szCs w:val="24"/>
        </w:rPr>
      </w:pPr>
    </w:p>
    <w:p w:rsidR="00A1128C" w:rsidRDefault="00A1128C" w:rsidP="00A1128C">
      <w:pPr>
        <w:autoSpaceDE w:val="0"/>
        <w:autoSpaceDN w:val="0"/>
        <w:adjustRightInd w:val="0"/>
        <w:spacing w:after="0" w:line="240" w:lineRule="auto"/>
        <w:jc w:val="center"/>
        <w:rPr>
          <w:rFonts w:ascii="LucidaGrande-Bold" w:hAnsi="LucidaGrande-Bold" w:cs="LucidaGrande-Bold"/>
          <w:b/>
          <w:bCs/>
          <w:sz w:val="24"/>
          <w:szCs w:val="24"/>
        </w:rPr>
      </w:pPr>
    </w:p>
    <w:p w:rsidR="00A1128C" w:rsidRDefault="00A1128C" w:rsidP="00A1128C">
      <w:pPr>
        <w:autoSpaceDE w:val="0"/>
        <w:autoSpaceDN w:val="0"/>
        <w:adjustRightInd w:val="0"/>
        <w:spacing w:after="0" w:line="240" w:lineRule="auto"/>
        <w:jc w:val="center"/>
        <w:rPr>
          <w:rFonts w:ascii="LucidaGrande-Bold" w:hAnsi="LucidaGrande-Bold" w:cs="LucidaGrande-Bold"/>
          <w:b/>
          <w:bCs/>
          <w:sz w:val="24"/>
          <w:szCs w:val="24"/>
        </w:rPr>
      </w:pPr>
    </w:p>
    <w:p w:rsidR="00A1128C" w:rsidRDefault="00A1128C" w:rsidP="00A1128C">
      <w:pPr>
        <w:autoSpaceDE w:val="0"/>
        <w:autoSpaceDN w:val="0"/>
        <w:adjustRightInd w:val="0"/>
        <w:spacing w:after="0" w:line="240" w:lineRule="auto"/>
        <w:rPr>
          <w:rFonts w:ascii="LucidaGrande-Bold" w:hAnsi="LucidaGrande-Bold" w:cs="LucidaGrande-Bold"/>
          <w:b/>
          <w:bCs/>
          <w:sz w:val="24"/>
          <w:szCs w:val="24"/>
        </w:rPr>
      </w:pPr>
      <w:r>
        <w:rPr>
          <w:rFonts w:ascii="LucidaGrande-Bold" w:hAnsi="LucidaGrande-Bold" w:cs="LucidaGrande-Bold"/>
          <w:b/>
          <w:bCs/>
          <w:sz w:val="24"/>
          <w:szCs w:val="24"/>
        </w:rPr>
        <w:t>Sub-Group Team Members:</w:t>
      </w:r>
    </w:p>
    <w:p w:rsidR="00A1128C" w:rsidRDefault="00A1128C" w:rsidP="00A1128C">
      <w:pPr>
        <w:autoSpaceDE w:val="0"/>
        <w:autoSpaceDN w:val="0"/>
        <w:adjustRightInd w:val="0"/>
        <w:spacing w:after="0" w:line="240" w:lineRule="auto"/>
        <w:rPr>
          <w:rFonts w:ascii="LucidaGrande" w:hAnsi="LucidaGrande" w:cs="LucidaGrande"/>
        </w:rPr>
      </w:pPr>
      <w:r>
        <w:rPr>
          <w:rFonts w:ascii="LucidaGrande" w:hAnsi="LucidaGrande" w:cs="LucidaGrande"/>
        </w:rPr>
        <w:t>• Jay Stewart Port of Tacoma</w:t>
      </w:r>
    </w:p>
    <w:p w:rsidR="00A1128C" w:rsidRDefault="00A1128C" w:rsidP="00A1128C">
      <w:pPr>
        <w:autoSpaceDE w:val="0"/>
        <w:autoSpaceDN w:val="0"/>
        <w:adjustRightInd w:val="0"/>
        <w:spacing w:after="0" w:line="240" w:lineRule="auto"/>
        <w:rPr>
          <w:rFonts w:ascii="LucidaGrande" w:hAnsi="LucidaGrande" w:cs="LucidaGrande"/>
        </w:rPr>
      </w:pPr>
      <w:r>
        <w:rPr>
          <w:rFonts w:ascii="LucidaGrande" w:hAnsi="LucidaGrande" w:cs="LucidaGrande"/>
        </w:rPr>
        <w:t xml:space="preserve">• Kathryn </w:t>
      </w:r>
      <w:r>
        <w:rPr>
          <w:rFonts w:ascii="LucidaGrande" w:hAnsi="LucidaGrande" w:cs="LucidaGrande"/>
        </w:rPr>
        <w:t>McDermott</w:t>
      </w:r>
      <w:r>
        <w:rPr>
          <w:rFonts w:ascii="LucidaGrande" w:hAnsi="LucidaGrande" w:cs="LucidaGrande"/>
        </w:rPr>
        <w:t xml:space="preserve"> Port of Los Angeles</w:t>
      </w:r>
    </w:p>
    <w:p w:rsidR="00A1128C" w:rsidRDefault="00A1128C" w:rsidP="00A1128C">
      <w:pPr>
        <w:autoSpaceDE w:val="0"/>
        <w:autoSpaceDN w:val="0"/>
        <w:adjustRightInd w:val="0"/>
        <w:spacing w:after="0" w:line="240" w:lineRule="auto"/>
        <w:rPr>
          <w:rFonts w:ascii="LucidaGrande" w:hAnsi="LucidaGrande" w:cs="LucidaGrande"/>
        </w:rPr>
      </w:pPr>
      <w:r>
        <w:rPr>
          <w:rFonts w:ascii="LucidaGrande" w:hAnsi="LucidaGrande" w:cs="LucidaGrande"/>
        </w:rPr>
        <w:t>• Steve Hagar Port of Everett</w:t>
      </w:r>
    </w:p>
    <w:p w:rsidR="00A1128C" w:rsidRDefault="00A1128C" w:rsidP="00A1128C">
      <w:pPr>
        <w:autoSpaceDE w:val="0"/>
        <w:autoSpaceDN w:val="0"/>
        <w:adjustRightInd w:val="0"/>
        <w:spacing w:after="0" w:line="240" w:lineRule="auto"/>
        <w:rPr>
          <w:rFonts w:ascii="Times New Roman" w:hAnsi="Times New Roman" w:cs="Times New Roman"/>
          <w:b/>
          <w:sz w:val="24"/>
          <w:szCs w:val="24"/>
        </w:rPr>
      </w:pPr>
      <w:r>
        <w:rPr>
          <w:rFonts w:ascii="LucidaGrande" w:hAnsi="LucidaGrande" w:cs="LucidaGrande"/>
        </w:rPr>
        <w:t>• Spencer Stewart (Private Consultan</w:t>
      </w:r>
      <w:r>
        <w:rPr>
          <w:rFonts w:ascii="LucidaGrande" w:hAnsi="LucidaGrande" w:cs="LucidaGrande"/>
        </w:rPr>
        <w:t>t</w:t>
      </w:r>
      <w:r w:rsidR="00E55392">
        <w:rPr>
          <w:rFonts w:ascii="LucidaGrande" w:hAnsi="LucidaGrande" w:cs="LucidaGrande"/>
        </w:rPr>
        <w:t>)</w:t>
      </w:r>
      <w:bookmarkStart w:id="0" w:name="_GoBack"/>
      <w:bookmarkEnd w:id="0"/>
      <w:r>
        <w:rPr>
          <w:rFonts w:ascii="LucidaGrande" w:hAnsi="LucidaGrande" w:cs="LucidaGrande"/>
        </w:rPr>
        <w:t xml:space="preserve"> </w:t>
      </w:r>
      <w:r>
        <w:rPr>
          <w:rFonts w:ascii="Times New Roman" w:hAnsi="Times New Roman" w:cs="Times New Roman"/>
          <w:b/>
          <w:sz w:val="24"/>
          <w:szCs w:val="24"/>
        </w:rPr>
        <w:br w:type="page"/>
      </w:r>
    </w:p>
    <w:p w:rsidR="00250B88" w:rsidRPr="00527F2A" w:rsidRDefault="00022C81">
      <w:pPr>
        <w:rPr>
          <w:rFonts w:ascii="Times New Roman" w:hAnsi="Times New Roman" w:cs="Times New Roman"/>
          <w:b/>
          <w:sz w:val="24"/>
          <w:szCs w:val="24"/>
        </w:rPr>
      </w:pPr>
      <w:r w:rsidRPr="00527F2A">
        <w:rPr>
          <w:rFonts w:ascii="Times New Roman" w:hAnsi="Times New Roman" w:cs="Times New Roman"/>
          <w:b/>
          <w:sz w:val="24"/>
          <w:szCs w:val="24"/>
        </w:rPr>
        <w:lastRenderedPageBreak/>
        <w:t>Purpose</w:t>
      </w:r>
      <w:r w:rsidR="00250B88" w:rsidRPr="00527F2A">
        <w:rPr>
          <w:rFonts w:ascii="Times New Roman" w:hAnsi="Times New Roman" w:cs="Times New Roman"/>
          <w:b/>
          <w:sz w:val="24"/>
          <w:szCs w:val="24"/>
        </w:rPr>
        <w:t xml:space="preserve"> </w:t>
      </w:r>
    </w:p>
    <w:p w:rsidR="00851B12" w:rsidRPr="00527F2A" w:rsidRDefault="00ED2A80">
      <w:pPr>
        <w:rPr>
          <w:rFonts w:ascii="Times New Roman" w:hAnsi="Times New Roman" w:cs="Times New Roman"/>
          <w:sz w:val="24"/>
          <w:szCs w:val="24"/>
        </w:rPr>
      </w:pPr>
      <w:r w:rsidRPr="00527F2A">
        <w:rPr>
          <w:rFonts w:ascii="Times New Roman" w:hAnsi="Times New Roman" w:cs="Times New Roman"/>
          <w:sz w:val="24"/>
          <w:szCs w:val="24"/>
        </w:rPr>
        <w:t xml:space="preserve">The </w:t>
      </w:r>
      <w:r>
        <w:rPr>
          <w:rFonts w:ascii="Times New Roman" w:hAnsi="Times New Roman" w:cs="Times New Roman"/>
          <w:sz w:val="24"/>
          <w:szCs w:val="24"/>
        </w:rPr>
        <w:t>objective</w:t>
      </w:r>
      <w:r w:rsidR="008422A0">
        <w:rPr>
          <w:rFonts w:ascii="Times New Roman" w:hAnsi="Times New Roman" w:cs="Times New Roman"/>
          <w:sz w:val="24"/>
          <w:szCs w:val="24"/>
        </w:rPr>
        <w:t xml:space="preserve"> of the Leasing Best Practices Project</w:t>
      </w:r>
      <w:r w:rsidR="00022C81" w:rsidRPr="00527F2A">
        <w:rPr>
          <w:rFonts w:ascii="Times New Roman" w:hAnsi="Times New Roman" w:cs="Times New Roman"/>
          <w:sz w:val="24"/>
          <w:szCs w:val="24"/>
        </w:rPr>
        <w:t xml:space="preserve"> is to create a compendium of current</w:t>
      </w:r>
      <w:r w:rsidR="00C334B4">
        <w:rPr>
          <w:rFonts w:ascii="Times New Roman" w:hAnsi="Times New Roman" w:cs="Times New Roman"/>
          <w:sz w:val="24"/>
          <w:szCs w:val="24"/>
        </w:rPr>
        <w:t xml:space="preserve"> Port</w:t>
      </w:r>
      <w:r w:rsidR="00022C81" w:rsidRPr="00527F2A">
        <w:rPr>
          <w:rFonts w:ascii="Times New Roman" w:hAnsi="Times New Roman" w:cs="Times New Roman"/>
          <w:sz w:val="24"/>
          <w:szCs w:val="24"/>
        </w:rPr>
        <w:t xml:space="preserve"> policies, practices and lease provisions </w:t>
      </w:r>
      <w:r w:rsidRPr="00527F2A">
        <w:rPr>
          <w:rFonts w:ascii="Times New Roman" w:hAnsi="Times New Roman" w:cs="Times New Roman"/>
          <w:sz w:val="24"/>
          <w:szCs w:val="24"/>
        </w:rPr>
        <w:t>as</w:t>
      </w:r>
      <w:r w:rsidR="00046E30">
        <w:rPr>
          <w:rFonts w:ascii="Times New Roman" w:hAnsi="Times New Roman" w:cs="Times New Roman"/>
          <w:sz w:val="24"/>
          <w:szCs w:val="24"/>
        </w:rPr>
        <w:t xml:space="preserve"> a </w:t>
      </w:r>
      <w:r w:rsidR="00022C81" w:rsidRPr="00527F2A">
        <w:rPr>
          <w:rFonts w:ascii="Times New Roman" w:hAnsi="Times New Roman" w:cs="Times New Roman"/>
          <w:sz w:val="24"/>
          <w:szCs w:val="24"/>
        </w:rPr>
        <w:t>reference for AAPA members.</w:t>
      </w:r>
      <w:r w:rsidR="00001472">
        <w:rPr>
          <w:rFonts w:ascii="Times New Roman" w:hAnsi="Times New Roman" w:cs="Times New Roman"/>
          <w:sz w:val="24"/>
          <w:szCs w:val="24"/>
        </w:rPr>
        <w:t xml:space="preserve"> </w:t>
      </w:r>
      <w:r w:rsidR="00022C81" w:rsidRPr="00527F2A">
        <w:rPr>
          <w:rFonts w:ascii="Times New Roman" w:hAnsi="Times New Roman" w:cs="Times New Roman"/>
          <w:sz w:val="24"/>
          <w:szCs w:val="24"/>
        </w:rPr>
        <w:t xml:space="preserve"> </w:t>
      </w:r>
      <w:r w:rsidR="00001472" w:rsidRPr="00001472">
        <w:rPr>
          <w:rFonts w:ascii="Times New Roman" w:hAnsi="Times New Roman" w:cs="Times New Roman"/>
          <w:sz w:val="24"/>
          <w:szCs w:val="24"/>
        </w:rPr>
        <w:t>Oversight and guidance of the project was provided by the Lease Structure Subgroup</w:t>
      </w:r>
      <w:r w:rsidR="006174DA">
        <w:rPr>
          <w:rFonts w:ascii="Times New Roman" w:hAnsi="Times New Roman" w:cs="Times New Roman"/>
          <w:sz w:val="24"/>
          <w:szCs w:val="24"/>
        </w:rPr>
        <w:t xml:space="preserve">. </w:t>
      </w:r>
      <w:r w:rsidR="00001472" w:rsidRPr="00001472">
        <w:rPr>
          <w:rFonts w:ascii="Times New Roman" w:hAnsi="Times New Roman" w:cs="Times New Roman"/>
          <w:sz w:val="24"/>
          <w:szCs w:val="24"/>
        </w:rPr>
        <w:t xml:space="preserve"> </w:t>
      </w:r>
      <w:r w:rsidR="008422A0">
        <w:rPr>
          <w:rFonts w:ascii="Times New Roman" w:hAnsi="Times New Roman" w:cs="Times New Roman"/>
          <w:sz w:val="24"/>
          <w:szCs w:val="24"/>
        </w:rPr>
        <w:t>T</w:t>
      </w:r>
      <w:r w:rsidR="00022C81" w:rsidRPr="00527F2A">
        <w:rPr>
          <w:rFonts w:ascii="Times New Roman" w:hAnsi="Times New Roman" w:cs="Times New Roman"/>
          <w:sz w:val="24"/>
          <w:szCs w:val="24"/>
        </w:rPr>
        <w:t xml:space="preserve">wo methods </w:t>
      </w:r>
      <w:r w:rsidR="008422A0">
        <w:rPr>
          <w:rFonts w:ascii="Times New Roman" w:hAnsi="Times New Roman" w:cs="Times New Roman"/>
          <w:sz w:val="24"/>
          <w:szCs w:val="24"/>
        </w:rPr>
        <w:t xml:space="preserve">were </w:t>
      </w:r>
      <w:r w:rsidR="00022C81" w:rsidRPr="00527F2A">
        <w:rPr>
          <w:rFonts w:ascii="Times New Roman" w:hAnsi="Times New Roman" w:cs="Times New Roman"/>
          <w:sz w:val="24"/>
          <w:szCs w:val="24"/>
        </w:rPr>
        <w:t xml:space="preserve">used to collect research for this </w:t>
      </w:r>
      <w:r w:rsidR="00046E30" w:rsidRPr="00527F2A">
        <w:rPr>
          <w:rFonts w:ascii="Times New Roman" w:hAnsi="Times New Roman" w:cs="Times New Roman"/>
          <w:sz w:val="24"/>
          <w:szCs w:val="24"/>
        </w:rPr>
        <w:t>pro</w:t>
      </w:r>
      <w:r w:rsidR="00046E30">
        <w:rPr>
          <w:rFonts w:ascii="Times New Roman" w:hAnsi="Times New Roman" w:cs="Times New Roman"/>
          <w:sz w:val="24"/>
          <w:szCs w:val="24"/>
        </w:rPr>
        <w:t>ject</w:t>
      </w:r>
      <w:r w:rsidR="00022C81" w:rsidRPr="00527F2A">
        <w:rPr>
          <w:rFonts w:ascii="Times New Roman" w:hAnsi="Times New Roman" w:cs="Times New Roman"/>
          <w:sz w:val="24"/>
          <w:szCs w:val="24"/>
        </w:rPr>
        <w:t xml:space="preserve">.  </w:t>
      </w:r>
      <w:r w:rsidR="008422A0">
        <w:rPr>
          <w:rFonts w:ascii="Times New Roman" w:hAnsi="Times New Roman" w:cs="Times New Roman"/>
          <w:sz w:val="24"/>
          <w:szCs w:val="24"/>
        </w:rPr>
        <w:t>The initial</w:t>
      </w:r>
      <w:r w:rsidR="00022C81" w:rsidRPr="00527F2A">
        <w:rPr>
          <w:rFonts w:ascii="Times New Roman" w:hAnsi="Times New Roman" w:cs="Times New Roman"/>
          <w:sz w:val="24"/>
          <w:szCs w:val="24"/>
        </w:rPr>
        <w:t xml:space="preserve"> research </w:t>
      </w:r>
      <w:r w:rsidR="008422A0">
        <w:rPr>
          <w:rFonts w:ascii="Times New Roman" w:hAnsi="Times New Roman" w:cs="Times New Roman"/>
          <w:sz w:val="24"/>
          <w:szCs w:val="24"/>
        </w:rPr>
        <w:t>reviewed</w:t>
      </w:r>
      <w:r w:rsidR="00022C81" w:rsidRPr="00527F2A">
        <w:rPr>
          <w:rFonts w:ascii="Times New Roman" w:hAnsi="Times New Roman" w:cs="Times New Roman"/>
          <w:sz w:val="24"/>
          <w:szCs w:val="24"/>
        </w:rPr>
        <w:t xml:space="preserve"> leasing practices</w:t>
      </w:r>
      <w:r w:rsidR="008422A0">
        <w:rPr>
          <w:rFonts w:ascii="Times New Roman" w:hAnsi="Times New Roman" w:cs="Times New Roman"/>
          <w:sz w:val="24"/>
          <w:szCs w:val="24"/>
        </w:rPr>
        <w:t xml:space="preserve"> of multiple </w:t>
      </w:r>
      <w:r w:rsidR="00046E30">
        <w:rPr>
          <w:rFonts w:ascii="Times New Roman" w:hAnsi="Times New Roman" w:cs="Times New Roman"/>
          <w:sz w:val="24"/>
          <w:szCs w:val="24"/>
        </w:rPr>
        <w:t xml:space="preserve">U.S. west coast </w:t>
      </w:r>
      <w:r w:rsidR="008422A0">
        <w:rPr>
          <w:rFonts w:ascii="Times New Roman" w:hAnsi="Times New Roman" w:cs="Times New Roman"/>
          <w:sz w:val="24"/>
          <w:szCs w:val="24"/>
        </w:rPr>
        <w:t xml:space="preserve">ports.  </w:t>
      </w:r>
      <w:r w:rsidR="00022C81" w:rsidRPr="00527F2A">
        <w:rPr>
          <w:rFonts w:ascii="Times New Roman" w:hAnsi="Times New Roman" w:cs="Times New Roman"/>
          <w:sz w:val="24"/>
          <w:szCs w:val="24"/>
        </w:rPr>
        <w:t xml:space="preserve"> </w:t>
      </w:r>
      <w:r w:rsidR="008422A0">
        <w:rPr>
          <w:rFonts w:ascii="Times New Roman" w:hAnsi="Times New Roman" w:cs="Times New Roman"/>
          <w:sz w:val="24"/>
          <w:szCs w:val="24"/>
        </w:rPr>
        <w:t>Specific provisions were</w:t>
      </w:r>
      <w:r w:rsidR="008422A0" w:rsidRPr="00527F2A">
        <w:rPr>
          <w:rFonts w:ascii="Times New Roman" w:hAnsi="Times New Roman" w:cs="Times New Roman"/>
          <w:sz w:val="24"/>
          <w:szCs w:val="24"/>
        </w:rPr>
        <w:t xml:space="preserve"> </w:t>
      </w:r>
      <w:r w:rsidR="00022C81" w:rsidRPr="00527F2A">
        <w:rPr>
          <w:rFonts w:ascii="Times New Roman" w:hAnsi="Times New Roman" w:cs="Times New Roman"/>
          <w:sz w:val="24"/>
          <w:szCs w:val="24"/>
        </w:rPr>
        <w:t xml:space="preserve">then complied into a living database that will be posted online for AAPA members to use as a reference guide. </w:t>
      </w:r>
      <w:r w:rsidR="00C334B4">
        <w:rPr>
          <w:rFonts w:ascii="Times New Roman" w:hAnsi="Times New Roman" w:cs="Times New Roman"/>
          <w:sz w:val="24"/>
          <w:szCs w:val="24"/>
        </w:rPr>
        <w:t xml:space="preserve"> </w:t>
      </w:r>
      <w:r w:rsidR="008422A0">
        <w:rPr>
          <w:rFonts w:ascii="Times New Roman" w:hAnsi="Times New Roman" w:cs="Times New Roman"/>
          <w:sz w:val="24"/>
          <w:szCs w:val="24"/>
        </w:rPr>
        <w:t>Next</w:t>
      </w:r>
      <w:r w:rsidR="004773E9">
        <w:rPr>
          <w:rFonts w:ascii="Times New Roman" w:hAnsi="Times New Roman" w:cs="Times New Roman"/>
          <w:sz w:val="24"/>
          <w:szCs w:val="24"/>
        </w:rPr>
        <w:t xml:space="preserve">, a survey questionnaire was created to assess current </w:t>
      </w:r>
      <w:r w:rsidR="00851B12" w:rsidRPr="00527F2A">
        <w:rPr>
          <w:rFonts w:ascii="Times New Roman" w:hAnsi="Times New Roman" w:cs="Times New Roman"/>
          <w:sz w:val="24"/>
          <w:szCs w:val="24"/>
        </w:rPr>
        <w:t>leasing policies</w:t>
      </w:r>
      <w:r w:rsidR="00001472">
        <w:rPr>
          <w:rFonts w:ascii="Times New Roman" w:hAnsi="Times New Roman" w:cs="Times New Roman"/>
          <w:sz w:val="24"/>
          <w:szCs w:val="24"/>
        </w:rPr>
        <w:t>,</w:t>
      </w:r>
      <w:r w:rsidR="00851B12" w:rsidRPr="00527F2A">
        <w:rPr>
          <w:rFonts w:ascii="Times New Roman" w:hAnsi="Times New Roman" w:cs="Times New Roman"/>
          <w:sz w:val="24"/>
          <w:szCs w:val="24"/>
        </w:rPr>
        <w:t xml:space="preserve"> practices</w:t>
      </w:r>
      <w:r w:rsidR="00022C81" w:rsidRPr="00527F2A">
        <w:rPr>
          <w:rFonts w:ascii="Times New Roman" w:hAnsi="Times New Roman" w:cs="Times New Roman"/>
          <w:sz w:val="24"/>
          <w:szCs w:val="24"/>
        </w:rPr>
        <w:t xml:space="preserve"> </w:t>
      </w:r>
      <w:r w:rsidR="00001472">
        <w:rPr>
          <w:rFonts w:ascii="Times New Roman" w:hAnsi="Times New Roman" w:cs="Times New Roman"/>
          <w:sz w:val="24"/>
          <w:szCs w:val="24"/>
        </w:rPr>
        <w:t xml:space="preserve">and terms used </w:t>
      </w:r>
      <w:r w:rsidR="007502E1">
        <w:rPr>
          <w:rFonts w:ascii="Times New Roman" w:hAnsi="Times New Roman" w:cs="Times New Roman"/>
          <w:sz w:val="24"/>
          <w:szCs w:val="24"/>
        </w:rPr>
        <w:t xml:space="preserve">by </w:t>
      </w:r>
      <w:r w:rsidR="007502E1" w:rsidRPr="00527F2A">
        <w:rPr>
          <w:rFonts w:ascii="Times New Roman" w:hAnsi="Times New Roman" w:cs="Times New Roman"/>
          <w:sz w:val="24"/>
          <w:szCs w:val="24"/>
        </w:rPr>
        <w:t>AAPA</w:t>
      </w:r>
      <w:r w:rsidR="00022C81" w:rsidRPr="00527F2A">
        <w:rPr>
          <w:rFonts w:ascii="Times New Roman" w:hAnsi="Times New Roman" w:cs="Times New Roman"/>
          <w:sz w:val="24"/>
          <w:szCs w:val="24"/>
        </w:rPr>
        <w:t xml:space="preserve"> members</w:t>
      </w:r>
      <w:r w:rsidR="00001472">
        <w:rPr>
          <w:rFonts w:ascii="Times New Roman" w:hAnsi="Times New Roman" w:cs="Times New Roman"/>
          <w:sz w:val="24"/>
          <w:szCs w:val="24"/>
        </w:rPr>
        <w:t>.  The survey</w:t>
      </w:r>
      <w:r w:rsidR="00022C81" w:rsidRPr="00527F2A">
        <w:rPr>
          <w:rFonts w:ascii="Times New Roman" w:hAnsi="Times New Roman" w:cs="Times New Roman"/>
          <w:sz w:val="24"/>
          <w:szCs w:val="24"/>
        </w:rPr>
        <w:t xml:space="preserve"> was</w:t>
      </w:r>
      <w:r w:rsidR="00001472">
        <w:rPr>
          <w:rFonts w:ascii="Times New Roman" w:hAnsi="Times New Roman" w:cs="Times New Roman"/>
          <w:sz w:val="24"/>
          <w:szCs w:val="24"/>
        </w:rPr>
        <w:t xml:space="preserve"> provided to Maritime Economic Development Committee member Ports</w:t>
      </w:r>
      <w:r w:rsidR="00C334B4">
        <w:rPr>
          <w:rFonts w:ascii="Times New Roman" w:hAnsi="Times New Roman" w:cs="Times New Roman"/>
          <w:sz w:val="24"/>
          <w:szCs w:val="24"/>
        </w:rPr>
        <w:t>.</w:t>
      </w:r>
      <w:r>
        <w:rPr>
          <w:rFonts w:ascii="Times New Roman" w:hAnsi="Times New Roman" w:cs="Times New Roman"/>
          <w:sz w:val="24"/>
          <w:szCs w:val="24"/>
        </w:rPr>
        <w:t xml:space="preserve"> </w:t>
      </w:r>
      <w:r w:rsidR="00C334B4">
        <w:rPr>
          <w:rFonts w:ascii="Times New Roman" w:hAnsi="Times New Roman" w:cs="Times New Roman"/>
          <w:sz w:val="24"/>
          <w:szCs w:val="24"/>
        </w:rPr>
        <w:t xml:space="preserve"> </w:t>
      </w:r>
      <w:r>
        <w:rPr>
          <w:rFonts w:ascii="Times New Roman" w:hAnsi="Times New Roman" w:cs="Times New Roman"/>
          <w:sz w:val="24"/>
          <w:szCs w:val="24"/>
        </w:rPr>
        <w:t>Seven</w:t>
      </w:r>
      <w:r w:rsidR="00001472">
        <w:rPr>
          <w:rFonts w:ascii="Times New Roman" w:hAnsi="Times New Roman" w:cs="Times New Roman"/>
          <w:sz w:val="24"/>
          <w:szCs w:val="24"/>
        </w:rPr>
        <w:t xml:space="preserve"> Ports responded initially</w:t>
      </w:r>
      <w:r w:rsidR="00FF04D5">
        <w:rPr>
          <w:rFonts w:ascii="Times New Roman" w:hAnsi="Times New Roman" w:cs="Times New Roman"/>
          <w:sz w:val="24"/>
          <w:szCs w:val="24"/>
        </w:rPr>
        <w:t xml:space="preserve"> and</w:t>
      </w:r>
      <w:r w:rsidR="00001472">
        <w:rPr>
          <w:rFonts w:ascii="Times New Roman" w:hAnsi="Times New Roman" w:cs="Times New Roman"/>
          <w:sz w:val="24"/>
          <w:szCs w:val="24"/>
        </w:rPr>
        <w:t xml:space="preserve"> </w:t>
      </w:r>
      <w:r w:rsidR="00FF04D5">
        <w:rPr>
          <w:rFonts w:ascii="Times New Roman" w:hAnsi="Times New Roman" w:cs="Times New Roman"/>
          <w:sz w:val="24"/>
          <w:szCs w:val="24"/>
        </w:rPr>
        <w:t>t</w:t>
      </w:r>
      <w:r w:rsidR="00001472">
        <w:rPr>
          <w:rFonts w:ascii="Times New Roman" w:hAnsi="Times New Roman" w:cs="Times New Roman"/>
          <w:sz w:val="24"/>
          <w:szCs w:val="24"/>
        </w:rPr>
        <w:t>he survey results are summarized below</w:t>
      </w:r>
      <w:r w:rsidR="00F66685">
        <w:rPr>
          <w:rFonts w:ascii="Times New Roman" w:hAnsi="Times New Roman" w:cs="Times New Roman"/>
          <w:sz w:val="24"/>
          <w:szCs w:val="24"/>
        </w:rPr>
        <w:t xml:space="preserve"> and attached as reference</w:t>
      </w:r>
      <w:r w:rsidR="00001472">
        <w:rPr>
          <w:rFonts w:ascii="Times New Roman" w:hAnsi="Times New Roman" w:cs="Times New Roman"/>
          <w:sz w:val="24"/>
          <w:szCs w:val="24"/>
        </w:rPr>
        <w:t xml:space="preserve">. </w:t>
      </w:r>
      <w:r w:rsidR="00022C81" w:rsidRPr="00527F2A">
        <w:rPr>
          <w:rFonts w:ascii="Times New Roman" w:hAnsi="Times New Roman" w:cs="Times New Roman"/>
          <w:sz w:val="24"/>
          <w:szCs w:val="24"/>
        </w:rPr>
        <w:t xml:space="preserve"> </w:t>
      </w:r>
      <w:r w:rsidR="00C334B4">
        <w:rPr>
          <w:rFonts w:ascii="Times New Roman" w:hAnsi="Times New Roman" w:cs="Times New Roman"/>
          <w:sz w:val="24"/>
          <w:szCs w:val="24"/>
        </w:rPr>
        <w:t>T</w:t>
      </w:r>
      <w:r w:rsidR="00851B12" w:rsidRPr="00527F2A">
        <w:rPr>
          <w:rFonts w:ascii="Times New Roman" w:hAnsi="Times New Roman" w:cs="Times New Roman"/>
          <w:sz w:val="24"/>
          <w:szCs w:val="24"/>
        </w:rPr>
        <w:t xml:space="preserve">his </w:t>
      </w:r>
      <w:r w:rsidR="00C6587C">
        <w:rPr>
          <w:rFonts w:ascii="Times New Roman" w:hAnsi="Times New Roman" w:cs="Times New Roman"/>
          <w:sz w:val="24"/>
          <w:szCs w:val="24"/>
        </w:rPr>
        <w:t>summary</w:t>
      </w:r>
      <w:r w:rsidR="00C6587C" w:rsidRPr="00527F2A">
        <w:rPr>
          <w:rFonts w:ascii="Times New Roman" w:hAnsi="Times New Roman" w:cs="Times New Roman"/>
          <w:sz w:val="24"/>
          <w:szCs w:val="24"/>
        </w:rPr>
        <w:t xml:space="preserve"> </w:t>
      </w:r>
      <w:r w:rsidR="00C6587C">
        <w:rPr>
          <w:rFonts w:ascii="Times New Roman" w:hAnsi="Times New Roman" w:cs="Times New Roman"/>
          <w:sz w:val="24"/>
          <w:szCs w:val="24"/>
        </w:rPr>
        <w:t>of</w:t>
      </w:r>
      <w:r w:rsidR="00C334B4">
        <w:rPr>
          <w:rFonts w:ascii="Times New Roman" w:hAnsi="Times New Roman" w:cs="Times New Roman"/>
          <w:sz w:val="24"/>
          <w:szCs w:val="24"/>
        </w:rPr>
        <w:t xml:space="preserve"> </w:t>
      </w:r>
      <w:r w:rsidR="00851B12" w:rsidRPr="00527F2A">
        <w:rPr>
          <w:rFonts w:ascii="Times New Roman" w:hAnsi="Times New Roman" w:cs="Times New Roman"/>
          <w:sz w:val="24"/>
          <w:szCs w:val="24"/>
        </w:rPr>
        <w:t>survey</w:t>
      </w:r>
      <w:r w:rsidR="00C334B4">
        <w:rPr>
          <w:rFonts w:ascii="Times New Roman" w:hAnsi="Times New Roman" w:cs="Times New Roman"/>
          <w:sz w:val="24"/>
          <w:szCs w:val="24"/>
        </w:rPr>
        <w:t xml:space="preserve"> responses </w:t>
      </w:r>
      <w:r w:rsidR="00001472">
        <w:rPr>
          <w:rFonts w:ascii="Times New Roman" w:hAnsi="Times New Roman" w:cs="Times New Roman"/>
          <w:sz w:val="24"/>
          <w:szCs w:val="24"/>
        </w:rPr>
        <w:t>and</w:t>
      </w:r>
      <w:r w:rsidR="00FF04D5">
        <w:rPr>
          <w:rFonts w:ascii="Times New Roman" w:hAnsi="Times New Roman" w:cs="Times New Roman"/>
          <w:sz w:val="24"/>
          <w:szCs w:val="24"/>
        </w:rPr>
        <w:t xml:space="preserve"> the</w:t>
      </w:r>
      <w:r w:rsidR="00001472">
        <w:rPr>
          <w:rFonts w:ascii="Times New Roman" w:hAnsi="Times New Roman" w:cs="Times New Roman"/>
          <w:sz w:val="24"/>
          <w:szCs w:val="24"/>
        </w:rPr>
        <w:t xml:space="preserve"> reference table of sample lease policies and provision</w:t>
      </w:r>
      <w:r w:rsidR="00FF04D5">
        <w:rPr>
          <w:rFonts w:ascii="Times New Roman" w:hAnsi="Times New Roman" w:cs="Times New Roman"/>
          <w:sz w:val="24"/>
          <w:szCs w:val="24"/>
        </w:rPr>
        <w:t>s</w:t>
      </w:r>
      <w:r w:rsidR="00001472">
        <w:rPr>
          <w:rFonts w:ascii="Times New Roman" w:hAnsi="Times New Roman" w:cs="Times New Roman"/>
          <w:sz w:val="24"/>
          <w:szCs w:val="24"/>
        </w:rPr>
        <w:t xml:space="preserve"> </w:t>
      </w:r>
      <w:r w:rsidR="00851B12" w:rsidRPr="00527F2A">
        <w:rPr>
          <w:rFonts w:ascii="Times New Roman" w:hAnsi="Times New Roman" w:cs="Times New Roman"/>
          <w:sz w:val="24"/>
          <w:szCs w:val="24"/>
        </w:rPr>
        <w:t xml:space="preserve">will be posted online for AAPA </w:t>
      </w:r>
      <w:r w:rsidRPr="00527F2A">
        <w:rPr>
          <w:rFonts w:ascii="Times New Roman" w:hAnsi="Times New Roman" w:cs="Times New Roman"/>
          <w:sz w:val="24"/>
          <w:szCs w:val="24"/>
        </w:rPr>
        <w:t xml:space="preserve">members. </w:t>
      </w:r>
    </w:p>
    <w:p w:rsidR="00022C81" w:rsidRPr="00527F2A" w:rsidRDefault="00851B12">
      <w:pPr>
        <w:rPr>
          <w:rFonts w:ascii="Times New Roman" w:hAnsi="Times New Roman" w:cs="Times New Roman"/>
          <w:sz w:val="24"/>
          <w:szCs w:val="24"/>
        </w:rPr>
      </w:pPr>
      <w:r w:rsidRPr="00527F2A">
        <w:rPr>
          <w:rFonts w:ascii="Times New Roman" w:hAnsi="Times New Roman" w:cs="Times New Roman"/>
          <w:sz w:val="24"/>
          <w:szCs w:val="24"/>
        </w:rPr>
        <w:t>The following three (3) areas were the focus of the group’s research.</w:t>
      </w:r>
    </w:p>
    <w:p w:rsidR="00851B12" w:rsidRPr="00527F2A" w:rsidRDefault="00851B12" w:rsidP="00851B12">
      <w:pPr>
        <w:pStyle w:val="ListParagraph"/>
        <w:numPr>
          <w:ilvl w:val="0"/>
          <w:numId w:val="1"/>
        </w:numPr>
        <w:rPr>
          <w:rFonts w:ascii="Times New Roman" w:hAnsi="Times New Roman" w:cs="Times New Roman"/>
          <w:sz w:val="24"/>
          <w:szCs w:val="24"/>
        </w:rPr>
      </w:pPr>
      <w:r w:rsidRPr="00527F2A">
        <w:rPr>
          <w:rFonts w:ascii="Times New Roman" w:hAnsi="Times New Roman" w:cs="Times New Roman"/>
          <w:sz w:val="24"/>
          <w:szCs w:val="24"/>
        </w:rPr>
        <w:t>Leasing Policies</w:t>
      </w:r>
    </w:p>
    <w:p w:rsidR="00851B12" w:rsidRPr="00527F2A" w:rsidRDefault="00851B12" w:rsidP="00851B12">
      <w:pPr>
        <w:pStyle w:val="ListParagraph"/>
        <w:numPr>
          <w:ilvl w:val="0"/>
          <w:numId w:val="1"/>
        </w:numPr>
        <w:rPr>
          <w:rFonts w:ascii="Times New Roman" w:hAnsi="Times New Roman" w:cs="Times New Roman"/>
          <w:sz w:val="24"/>
          <w:szCs w:val="24"/>
        </w:rPr>
      </w:pPr>
      <w:r w:rsidRPr="00527F2A">
        <w:rPr>
          <w:rFonts w:ascii="Times New Roman" w:hAnsi="Times New Roman" w:cs="Times New Roman"/>
          <w:sz w:val="24"/>
          <w:szCs w:val="24"/>
        </w:rPr>
        <w:t>Leasing Practices</w:t>
      </w:r>
    </w:p>
    <w:p w:rsidR="00851B12" w:rsidRDefault="00851B12" w:rsidP="002F2F19">
      <w:pPr>
        <w:pStyle w:val="ListParagraph"/>
        <w:numPr>
          <w:ilvl w:val="0"/>
          <w:numId w:val="1"/>
        </w:numPr>
        <w:rPr>
          <w:rFonts w:ascii="Times New Roman" w:hAnsi="Times New Roman" w:cs="Times New Roman"/>
          <w:sz w:val="24"/>
          <w:szCs w:val="24"/>
        </w:rPr>
      </w:pPr>
      <w:r w:rsidRPr="00527F2A">
        <w:rPr>
          <w:rFonts w:ascii="Times New Roman" w:hAnsi="Times New Roman" w:cs="Times New Roman"/>
          <w:sz w:val="24"/>
          <w:szCs w:val="24"/>
        </w:rPr>
        <w:t xml:space="preserve">Leasing </w:t>
      </w:r>
      <w:r w:rsidR="00777431">
        <w:rPr>
          <w:rFonts w:ascii="Times New Roman" w:hAnsi="Times New Roman" w:cs="Times New Roman"/>
          <w:sz w:val="24"/>
          <w:szCs w:val="24"/>
        </w:rPr>
        <w:t>Guidelines</w:t>
      </w:r>
    </w:p>
    <w:p w:rsidR="00777431" w:rsidRDefault="00777431" w:rsidP="002F2F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Special Provisions and Performance Incentives </w:t>
      </w:r>
    </w:p>
    <w:p w:rsidR="00135FA9" w:rsidRDefault="00135FA9" w:rsidP="002F2F19">
      <w:pPr>
        <w:rPr>
          <w:rFonts w:ascii="Times New Roman" w:hAnsi="Times New Roman" w:cs="Times New Roman"/>
          <w:b/>
          <w:sz w:val="24"/>
          <w:szCs w:val="24"/>
        </w:rPr>
      </w:pPr>
      <w:r>
        <w:rPr>
          <w:rFonts w:ascii="Times New Roman" w:hAnsi="Times New Roman" w:cs="Times New Roman"/>
          <w:b/>
          <w:sz w:val="24"/>
          <w:szCs w:val="24"/>
        </w:rPr>
        <w:t xml:space="preserve">Summary of Port Responses </w:t>
      </w:r>
    </w:p>
    <w:p w:rsidR="00851B12" w:rsidRPr="00C6587C" w:rsidRDefault="00851B12" w:rsidP="00851B12">
      <w:pPr>
        <w:ind w:left="360"/>
        <w:rPr>
          <w:rFonts w:ascii="Times New Roman" w:hAnsi="Times New Roman" w:cs="Times New Roman"/>
          <w:b/>
          <w:sz w:val="24"/>
          <w:szCs w:val="24"/>
        </w:rPr>
      </w:pPr>
      <w:r w:rsidRPr="00C6587C">
        <w:rPr>
          <w:rFonts w:ascii="Times New Roman" w:hAnsi="Times New Roman" w:cs="Times New Roman"/>
          <w:b/>
          <w:sz w:val="24"/>
          <w:szCs w:val="24"/>
        </w:rPr>
        <w:t>Leasing Policies</w:t>
      </w:r>
    </w:p>
    <w:p w:rsidR="00460089" w:rsidRDefault="00460089" w:rsidP="00B80C6F">
      <w:pPr>
        <w:ind w:left="360" w:firstLine="360"/>
        <w:rPr>
          <w:rFonts w:ascii="Times New Roman" w:hAnsi="Times New Roman" w:cs="Times New Roman"/>
          <w:sz w:val="24"/>
          <w:szCs w:val="24"/>
        </w:rPr>
      </w:pPr>
      <w:r>
        <w:rPr>
          <w:rFonts w:ascii="Times New Roman" w:hAnsi="Times New Roman" w:cs="Times New Roman"/>
          <w:sz w:val="24"/>
          <w:szCs w:val="24"/>
        </w:rPr>
        <w:t xml:space="preserve">If we were to codify the primary theme given to us by respondents to our survey, it would be the need for increased flexibility in reacting to market conditions in setting lease terms in a timely manner, while attempting to adhere to written policies of each respective port. If the policy is too restrictive, the port may lose a worthy tenant and income. If the appeal process to be given the authority to modify lease terms is too slow, the port may lose a worthy tenant and income. </w:t>
      </w:r>
    </w:p>
    <w:p w:rsidR="00B80C6F" w:rsidRPr="00527F2A" w:rsidRDefault="00851B12" w:rsidP="00B80C6F">
      <w:pPr>
        <w:ind w:left="360" w:firstLine="360"/>
        <w:rPr>
          <w:rFonts w:ascii="Times New Roman" w:hAnsi="Times New Roman" w:cs="Times New Roman"/>
          <w:sz w:val="24"/>
          <w:szCs w:val="24"/>
        </w:rPr>
      </w:pPr>
      <w:r w:rsidRPr="00527F2A">
        <w:rPr>
          <w:rFonts w:ascii="Times New Roman" w:hAnsi="Times New Roman" w:cs="Times New Roman"/>
          <w:sz w:val="24"/>
          <w:szCs w:val="24"/>
        </w:rPr>
        <w:t xml:space="preserve">Leasing Policies </w:t>
      </w:r>
      <w:r w:rsidR="008422A0">
        <w:rPr>
          <w:rFonts w:ascii="Times New Roman" w:hAnsi="Times New Roman" w:cs="Times New Roman"/>
          <w:sz w:val="24"/>
          <w:szCs w:val="24"/>
        </w:rPr>
        <w:t xml:space="preserve">typically </w:t>
      </w:r>
      <w:r w:rsidRPr="00527F2A">
        <w:rPr>
          <w:rFonts w:ascii="Times New Roman" w:hAnsi="Times New Roman" w:cs="Times New Roman"/>
          <w:sz w:val="24"/>
          <w:szCs w:val="24"/>
        </w:rPr>
        <w:t>are established by a port governing body</w:t>
      </w:r>
      <w:r w:rsidR="00FF04D5">
        <w:rPr>
          <w:rFonts w:ascii="Times New Roman" w:hAnsi="Times New Roman" w:cs="Times New Roman"/>
          <w:sz w:val="24"/>
          <w:szCs w:val="24"/>
        </w:rPr>
        <w:t xml:space="preserve"> </w:t>
      </w:r>
      <w:r w:rsidR="00ED2A80">
        <w:rPr>
          <w:rFonts w:ascii="Times New Roman" w:hAnsi="Times New Roman" w:cs="Times New Roman"/>
          <w:sz w:val="24"/>
          <w:szCs w:val="24"/>
        </w:rPr>
        <w:t xml:space="preserve">and </w:t>
      </w:r>
      <w:r w:rsidR="00ED2A80" w:rsidRPr="00527F2A">
        <w:rPr>
          <w:rFonts w:ascii="Times New Roman" w:hAnsi="Times New Roman" w:cs="Times New Roman"/>
          <w:sz w:val="24"/>
          <w:szCs w:val="24"/>
        </w:rPr>
        <w:t>can</w:t>
      </w:r>
      <w:r w:rsidRPr="00527F2A">
        <w:rPr>
          <w:rFonts w:ascii="Times New Roman" w:hAnsi="Times New Roman" w:cs="Times New Roman"/>
          <w:sz w:val="24"/>
          <w:szCs w:val="24"/>
        </w:rPr>
        <w:t xml:space="preserve"> vary greatly </w:t>
      </w:r>
      <w:r w:rsidR="00FA72B3" w:rsidRPr="00527F2A">
        <w:rPr>
          <w:rFonts w:ascii="Times New Roman" w:hAnsi="Times New Roman" w:cs="Times New Roman"/>
          <w:sz w:val="24"/>
          <w:szCs w:val="24"/>
        </w:rPr>
        <w:t xml:space="preserve">depending on the scope and size of the port. </w:t>
      </w:r>
      <w:r w:rsidR="006D722F">
        <w:rPr>
          <w:rFonts w:ascii="Times New Roman" w:hAnsi="Times New Roman" w:cs="Times New Roman"/>
          <w:sz w:val="24"/>
          <w:szCs w:val="24"/>
        </w:rPr>
        <w:t xml:space="preserve"> </w:t>
      </w:r>
      <w:r w:rsidR="00FA72B3" w:rsidRPr="00527F2A">
        <w:rPr>
          <w:rFonts w:ascii="Times New Roman" w:hAnsi="Times New Roman" w:cs="Times New Roman"/>
          <w:sz w:val="24"/>
          <w:szCs w:val="24"/>
        </w:rPr>
        <w:t xml:space="preserve">Larger ports tend to have </w:t>
      </w:r>
      <w:r w:rsidR="006D722F">
        <w:rPr>
          <w:rFonts w:ascii="Times New Roman" w:hAnsi="Times New Roman" w:cs="Times New Roman"/>
          <w:sz w:val="24"/>
          <w:szCs w:val="24"/>
        </w:rPr>
        <w:t>more extensive and well-defined</w:t>
      </w:r>
      <w:r w:rsidR="006D722F" w:rsidRPr="00527F2A">
        <w:rPr>
          <w:rFonts w:ascii="Times New Roman" w:hAnsi="Times New Roman" w:cs="Times New Roman"/>
          <w:sz w:val="24"/>
          <w:szCs w:val="24"/>
        </w:rPr>
        <w:t xml:space="preserve"> </w:t>
      </w:r>
      <w:r w:rsidR="00FA72B3" w:rsidRPr="00527F2A">
        <w:rPr>
          <w:rFonts w:ascii="Times New Roman" w:hAnsi="Times New Roman" w:cs="Times New Roman"/>
          <w:sz w:val="24"/>
          <w:szCs w:val="24"/>
        </w:rPr>
        <w:t>guidelines while the smaller ports</w:t>
      </w:r>
      <w:r w:rsidR="006D722F">
        <w:rPr>
          <w:rFonts w:ascii="Times New Roman" w:hAnsi="Times New Roman" w:cs="Times New Roman"/>
          <w:sz w:val="24"/>
          <w:szCs w:val="24"/>
        </w:rPr>
        <w:t xml:space="preserve"> may </w:t>
      </w:r>
      <w:r w:rsidR="00ED2A80">
        <w:rPr>
          <w:rFonts w:ascii="Times New Roman" w:hAnsi="Times New Roman" w:cs="Times New Roman"/>
          <w:sz w:val="24"/>
          <w:szCs w:val="24"/>
        </w:rPr>
        <w:t xml:space="preserve">have </w:t>
      </w:r>
      <w:r w:rsidR="00ED2A80" w:rsidRPr="00527F2A">
        <w:rPr>
          <w:rFonts w:ascii="Times New Roman" w:hAnsi="Times New Roman" w:cs="Times New Roman"/>
          <w:sz w:val="24"/>
          <w:szCs w:val="24"/>
        </w:rPr>
        <w:t>more</w:t>
      </w:r>
      <w:r w:rsidR="00FA72B3" w:rsidRPr="00527F2A">
        <w:rPr>
          <w:rFonts w:ascii="Times New Roman" w:hAnsi="Times New Roman" w:cs="Times New Roman"/>
          <w:sz w:val="24"/>
          <w:szCs w:val="24"/>
        </w:rPr>
        <w:t xml:space="preserve"> </w:t>
      </w:r>
      <w:r w:rsidR="006D722F">
        <w:rPr>
          <w:rFonts w:ascii="Times New Roman" w:hAnsi="Times New Roman" w:cs="Times New Roman"/>
          <w:sz w:val="24"/>
          <w:szCs w:val="24"/>
        </w:rPr>
        <w:t>general and limited guidelines</w:t>
      </w:r>
      <w:r w:rsidR="00D03A98" w:rsidRPr="00527F2A">
        <w:rPr>
          <w:rFonts w:ascii="Times New Roman" w:hAnsi="Times New Roman" w:cs="Times New Roman"/>
          <w:sz w:val="24"/>
          <w:szCs w:val="24"/>
        </w:rPr>
        <w:t>.</w:t>
      </w:r>
      <w:r w:rsidR="008422A0">
        <w:rPr>
          <w:rFonts w:ascii="Times New Roman" w:hAnsi="Times New Roman" w:cs="Times New Roman"/>
          <w:sz w:val="24"/>
          <w:szCs w:val="24"/>
        </w:rPr>
        <w:t xml:space="preserve"> </w:t>
      </w:r>
      <w:r w:rsidR="00C43F3B">
        <w:rPr>
          <w:rFonts w:ascii="Times New Roman" w:hAnsi="Times New Roman" w:cs="Times New Roman"/>
          <w:sz w:val="24"/>
          <w:szCs w:val="24"/>
        </w:rPr>
        <w:t xml:space="preserve"> Policies guidelines can cover a wide range of topics including </w:t>
      </w:r>
      <w:r w:rsidR="00C334B4">
        <w:rPr>
          <w:rFonts w:ascii="Times New Roman" w:hAnsi="Times New Roman" w:cs="Times New Roman"/>
          <w:sz w:val="24"/>
          <w:szCs w:val="24"/>
        </w:rPr>
        <w:t xml:space="preserve">standards for </w:t>
      </w:r>
      <w:r w:rsidR="00B80C6F">
        <w:rPr>
          <w:rFonts w:ascii="Times New Roman" w:hAnsi="Times New Roman" w:cs="Times New Roman"/>
          <w:sz w:val="24"/>
          <w:szCs w:val="24"/>
        </w:rPr>
        <w:t>term must</w:t>
      </w:r>
      <w:r w:rsidR="00B80C6F" w:rsidRPr="00527F2A">
        <w:rPr>
          <w:rFonts w:ascii="Times New Roman" w:hAnsi="Times New Roman" w:cs="Times New Roman"/>
          <w:sz w:val="24"/>
          <w:szCs w:val="24"/>
        </w:rPr>
        <w:t xml:space="preserve"> be approved by the </w:t>
      </w:r>
      <w:r w:rsidR="00B80C6F">
        <w:rPr>
          <w:rFonts w:ascii="Times New Roman" w:hAnsi="Times New Roman" w:cs="Times New Roman"/>
          <w:sz w:val="24"/>
          <w:szCs w:val="24"/>
        </w:rPr>
        <w:t>B</w:t>
      </w:r>
      <w:r w:rsidR="00B80C6F" w:rsidRPr="00527F2A">
        <w:rPr>
          <w:rFonts w:ascii="Times New Roman" w:hAnsi="Times New Roman" w:cs="Times New Roman"/>
          <w:sz w:val="24"/>
          <w:szCs w:val="24"/>
        </w:rPr>
        <w:t xml:space="preserve">oard.   </w:t>
      </w:r>
      <w:r w:rsidR="00543CEB">
        <w:rPr>
          <w:rFonts w:ascii="Times New Roman" w:hAnsi="Times New Roman" w:cs="Times New Roman"/>
          <w:sz w:val="24"/>
          <w:szCs w:val="24"/>
        </w:rPr>
        <w:t>Echoing the market-accountable nimbleness of private landlords, a</w:t>
      </w:r>
      <w:r w:rsidR="00B80C6F" w:rsidRPr="00527F2A">
        <w:rPr>
          <w:rFonts w:ascii="Times New Roman" w:hAnsi="Times New Roman" w:cs="Times New Roman"/>
          <w:sz w:val="24"/>
          <w:szCs w:val="24"/>
        </w:rPr>
        <w:t xml:space="preserve">ll ports </w:t>
      </w:r>
      <w:r w:rsidR="00B80C6F">
        <w:rPr>
          <w:rFonts w:ascii="Times New Roman" w:hAnsi="Times New Roman" w:cs="Times New Roman"/>
          <w:sz w:val="24"/>
          <w:szCs w:val="24"/>
        </w:rPr>
        <w:t xml:space="preserve">surveyed </w:t>
      </w:r>
      <w:r w:rsidR="00B80C6F" w:rsidRPr="00527F2A">
        <w:rPr>
          <w:rFonts w:ascii="Times New Roman" w:hAnsi="Times New Roman" w:cs="Times New Roman"/>
          <w:sz w:val="24"/>
          <w:szCs w:val="24"/>
        </w:rPr>
        <w:t xml:space="preserve">agreed that </w:t>
      </w:r>
      <w:r w:rsidR="00B80C6F">
        <w:rPr>
          <w:rFonts w:ascii="Times New Roman" w:hAnsi="Times New Roman" w:cs="Times New Roman"/>
          <w:sz w:val="24"/>
          <w:szCs w:val="24"/>
        </w:rPr>
        <w:t>circumstances may justify</w:t>
      </w:r>
      <w:r w:rsidR="00B80C6F" w:rsidRPr="00527F2A">
        <w:rPr>
          <w:rFonts w:ascii="Times New Roman" w:hAnsi="Times New Roman" w:cs="Times New Roman"/>
          <w:sz w:val="24"/>
          <w:szCs w:val="24"/>
        </w:rPr>
        <w:t xml:space="preserve"> deviating from </w:t>
      </w:r>
      <w:r w:rsidR="00B80C6F">
        <w:rPr>
          <w:rFonts w:ascii="Times New Roman" w:hAnsi="Times New Roman" w:cs="Times New Roman"/>
          <w:sz w:val="24"/>
          <w:szCs w:val="24"/>
        </w:rPr>
        <w:t>an established</w:t>
      </w:r>
      <w:r w:rsidR="00B80C6F" w:rsidRPr="00527F2A">
        <w:rPr>
          <w:rFonts w:ascii="Times New Roman" w:hAnsi="Times New Roman" w:cs="Times New Roman"/>
          <w:sz w:val="24"/>
          <w:szCs w:val="24"/>
        </w:rPr>
        <w:t xml:space="preserve"> leasing policy</w:t>
      </w:r>
      <w:r w:rsidR="00B80C6F">
        <w:rPr>
          <w:rFonts w:ascii="Times New Roman" w:hAnsi="Times New Roman" w:cs="Times New Roman"/>
          <w:sz w:val="24"/>
          <w:szCs w:val="24"/>
        </w:rPr>
        <w:t xml:space="preserve"> and </w:t>
      </w:r>
      <w:r w:rsidR="00B80C6F" w:rsidRPr="00527F2A">
        <w:rPr>
          <w:rFonts w:ascii="Times New Roman" w:hAnsi="Times New Roman" w:cs="Times New Roman"/>
          <w:sz w:val="24"/>
          <w:szCs w:val="24"/>
        </w:rPr>
        <w:t xml:space="preserve">in </w:t>
      </w:r>
      <w:r w:rsidR="00B80C6F">
        <w:rPr>
          <w:rFonts w:ascii="Times New Roman" w:hAnsi="Times New Roman" w:cs="Times New Roman"/>
          <w:sz w:val="24"/>
          <w:szCs w:val="24"/>
        </w:rPr>
        <w:t>such</w:t>
      </w:r>
      <w:r w:rsidR="00B80C6F" w:rsidRPr="00527F2A">
        <w:rPr>
          <w:rFonts w:ascii="Times New Roman" w:hAnsi="Times New Roman" w:cs="Times New Roman"/>
          <w:sz w:val="24"/>
          <w:szCs w:val="24"/>
        </w:rPr>
        <w:t xml:space="preserve"> instance</w:t>
      </w:r>
      <w:r w:rsidR="00B80C6F">
        <w:rPr>
          <w:rFonts w:ascii="Times New Roman" w:hAnsi="Times New Roman" w:cs="Times New Roman"/>
          <w:sz w:val="24"/>
          <w:szCs w:val="24"/>
        </w:rPr>
        <w:t>s</w:t>
      </w:r>
      <w:r w:rsidR="00B80C6F" w:rsidRPr="00527F2A">
        <w:rPr>
          <w:rFonts w:ascii="Times New Roman" w:hAnsi="Times New Roman" w:cs="Times New Roman"/>
          <w:sz w:val="24"/>
          <w:szCs w:val="24"/>
        </w:rPr>
        <w:t xml:space="preserve"> the governing board</w:t>
      </w:r>
      <w:r w:rsidR="00B80C6F">
        <w:rPr>
          <w:rFonts w:ascii="Times New Roman" w:hAnsi="Times New Roman" w:cs="Times New Roman"/>
          <w:sz w:val="24"/>
          <w:szCs w:val="24"/>
        </w:rPr>
        <w:t xml:space="preserve"> </w:t>
      </w:r>
      <w:r w:rsidR="00B80C6F" w:rsidRPr="00527F2A">
        <w:rPr>
          <w:rFonts w:ascii="Times New Roman" w:hAnsi="Times New Roman" w:cs="Times New Roman"/>
          <w:sz w:val="24"/>
          <w:szCs w:val="24"/>
        </w:rPr>
        <w:t xml:space="preserve">should review the needs of the tenant and </w:t>
      </w:r>
      <w:r w:rsidR="00B80C6F">
        <w:rPr>
          <w:rFonts w:ascii="Times New Roman" w:hAnsi="Times New Roman" w:cs="Times New Roman"/>
          <w:sz w:val="24"/>
          <w:szCs w:val="24"/>
        </w:rPr>
        <w:t xml:space="preserve">rule </w:t>
      </w:r>
      <w:r w:rsidR="00B80C6F" w:rsidRPr="00527F2A">
        <w:rPr>
          <w:rFonts w:ascii="Times New Roman" w:hAnsi="Times New Roman" w:cs="Times New Roman"/>
          <w:sz w:val="24"/>
          <w:szCs w:val="24"/>
        </w:rPr>
        <w:t xml:space="preserve">if </w:t>
      </w:r>
      <w:r w:rsidR="00B80C6F">
        <w:rPr>
          <w:rFonts w:ascii="Times New Roman" w:hAnsi="Times New Roman" w:cs="Times New Roman"/>
          <w:sz w:val="24"/>
          <w:szCs w:val="24"/>
        </w:rPr>
        <w:t>a</w:t>
      </w:r>
      <w:r w:rsidR="00B80C6F" w:rsidRPr="00527F2A">
        <w:rPr>
          <w:rFonts w:ascii="Times New Roman" w:hAnsi="Times New Roman" w:cs="Times New Roman"/>
          <w:sz w:val="24"/>
          <w:szCs w:val="24"/>
        </w:rPr>
        <w:t xml:space="preserve"> </w:t>
      </w:r>
      <w:r w:rsidR="00B80C6F">
        <w:rPr>
          <w:rFonts w:ascii="Times New Roman" w:hAnsi="Times New Roman" w:cs="Times New Roman"/>
          <w:sz w:val="24"/>
          <w:szCs w:val="24"/>
        </w:rPr>
        <w:t>deviation should be allowed.</w:t>
      </w:r>
    </w:p>
    <w:p w:rsidR="00460089" w:rsidRDefault="00135FA9" w:rsidP="002F2F19">
      <w:pPr>
        <w:ind w:left="360"/>
        <w:rPr>
          <w:rFonts w:ascii="Times New Roman" w:hAnsi="Times New Roman" w:cs="Times New Roman"/>
          <w:sz w:val="24"/>
          <w:szCs w:val="24"/>
        </w:rPr>
      </w:pPr>
      <w:r>
        <w:rPr>
          <w:rFonts w:ascii="Times New Roman" w:hAnsi="Times New Roman" w:cs="Times New Roman"/>
          <w:sz w:val="24"/>
          <w:szCs w:val="24"/>
        </w:rPr>
        <w:t>The</w:t>
      </w:r>
      <w:r w:rsidR="00B80C6F">
        <w:rPr>
          <w:rFonts w:ascii="Times New Roman" w:hAnsi="Times New Roman" w:cs="Times New Roman"/>
          <w:sz w:val="24"/>
          <w:szCs w:val="24"/>
        </w:rPr>
        <w:t xml:space="preserve"> </w:t>
      </w:r>
      <w:r w:rsidR="00B80C6F" w:rsidRPr="00527F2A">
        <w:rPr>
          <w:rFonts w:ascii="Times New Roman" w:hAnsi="Times New Roman" w:cs="Times New Roman"/>
          <w:sz w:val="24"/>
          <w:szCs w:val="24"/>
        </w:rPr>
        <w:t xml:space="preserve">Lease </w:t>
      </w:r>
      <w:r w:rsidR="00B80C6F">
        <w:rPr>
          <w:rFonts w:ascii="Times New Roman" w:hAnsi="Times New Roman" w:cs="Times New Roman"/>
          <w:sz w:val="24"/>
          <w:szCs w:val="24"/>
        </w:rPr>
        <w:t>T</w:t>
      </w:r>
      <w:r w:rsidR="00B80C6F" w:rsidRPr="00527F2A">
        <w:rPr>
          <w:rFonts w:ascii="Times New Roman" w:hAnsi="Times New Roman" w:cs="Times New Roman"/>
          <w:sz w:val="24"/>
          <w:szCs w:val="24"/>
        </w:rPr>
        <w:t>erm</w:t>
      </w:r>
      <w:r w:rsidR="00B80C6F">
        <w:rPr>
          <w:rFonts w:ascii="Times New Roman" w:hAnsi="Times New Roman" w:cs="Times New Roman"/>
          <w:sz w:val="24"/>
          <w:szCs w:val="24"/>
        </w:rPr>
        <w:t xml:space="preserve"> establishes the period of time tenant may utilize Port property.  The Lease Term will </w:t>
      </w:r>
      <w:r w:rsidR="00B80C6F" w:rsidRPr="00527F2A">
        <w:rPr>
          <w:rFonts w:ascii="Times New Roman" w:hAnsi="Times New Roman" w:cs="Times New Roman"/>
          <w:sz w:val="24"/>
          <w:szCs w:val="24"/>
        </w:rPr>
        <w:t xml:space="preserve">vary depending on the port, the </w:t>
      </w:r>
      <w:r w:rsidR="00B80C6F">
        <w:rPr>
          <w:rFonts w:ascii="Times New Roman" w:hAnsi="Times New Roman" w:cs="Times New Roman"/>
          <w:sz w:val="24"/>
          <w:szCs w:val="24"/>
        </w:rPr>
        <w:t xml:space="preserve">property </w:t>
      </w:r>
      <w:r w:rsidR="00B80C6F" w:rsidRPr="00527F2A">
        <w:rPr>
          <w:rFonts w:ascii="Times New Roman" w:hAnsi="Times New Roman" w:cs="Times New Roman"/>
          <w:sz w:val="24"/>
          <w:szCs w:val="24"/>
        </w:rPr>
        <w:t xml:space="preserve">location, the type of </w:t>
      </w:r>
      <w:r w:rsidR="00B80C6F">
        <w:rPr>
          <w:rFonts w:ascii="Times New Roman" w:hAnsi="Times New Roman" w:cs="Times New Roman"/>
          <w:sz w:val="24"/>
          <w:szCs w:val="24"/>
        </w:rPr>
        <w:t xml:space="preserve">use (marine </w:t>
      </w:r>
      <w:r w:rsidR="00B80C6F" w:rsidRPr="00527F2A">
        <w:rPr>
          <w:rFonts w:ascii="Times New Roman" w:hAnsi="Times New Roman" w:cs="Times New Roman"/>
          <w:sz w:val="24"/>
          <w:szCs w:val="24"/>
        </w:rPr>
        <w:t>terminal</w:t>
      </w:r>
      <w:r w:rsidR="00B80C6F">
        <w:rPr>
          <w:rFonts w:ascii="Times New Roman" w:hAnsi="Times New Roman" w:cs="Times New Roman"/>
          <w:sz w:val="24"/>
          <w:szCs w:val="24"/>
        </w:rPr>
        <w:t xml:space="preserve">, </w:t>
      </w:r>
      <w:r w:rsidR="00B80C6F">
        <w:rPr>
          <w:rFonts w:ascii="Times New Roman" w:hAnsi="Times New Roman" w:cs="Times New Roman"/>
          <w:sz w:val="24"/>
          <w:szCs w:val="24"/>
        </w:rPr>
        <w:lastRenderedPageBreak/>
        <w:t xml:space="preserve">industrial and commercial) and the improvements to be constructed.  </w:t>
      </w:r>
      <w:r w:rsidR="00B80C6F" w:rsidRPr="00527F2A">
        <w:rPr>
          <w:rFonts w:ascii="Times New Roman" w:hAnsi="Times New Roman" w:cs="Times New Roman"/>
          <w:sz w:val="24"/>
          <w:szCs w:val="24"/>
        </w:rPr>
        <w:t xml:space="preserve">. The survey showed that the lease </w:t>
      </w:r>
      <w:r w:rsidR="00B80C6F">
        <w:rPr>
          <w:rFonts w:ascii="Times New Roman" w:hAnsi="Times New Roman" w:cs="Times New Roman"/>
          <w:sz w:val="24"/>
          <w:szCs w:val="24"/>
        </w:rPr>
        <w:t xml:space="preserve">terms </w:t>
      </w:r>
      <w:r w:rsidR="00B80C6F" w:rsidRPr="00527F2A">
        <w:rPr>
          <w:rFonts w:ascii="Times New Roman" w:hAnsi="Times New Roman" w:cs="Times New Roman"/>
          <w:sz w:val="24"/>
          <w:szCs w:val="24"/>
        </w:rPr>
        <w:t xml:space="preserve">for marine terminals ranged from 1-50 years depending on the port. The average </w:t>
      </w:r>
      <w:r w:rsidR="00B80C6F">
        <w:rPr>
          <w:rFonts w:ascii="Times New Roman" w:hAnsi="Times New Roman" w:cs="Times New Roman"/>
          <w:sz w:val="24"/>
          <w:szCs w:val="24"/>
        </w:rPr>
        <w:t>period</w:t>
      </w:r>
      <w:r w:rsidR="00B80C6F" w:rsidRPr="00527F2A">
        <w:rPr>
          <w:rFonts w:ascii="Times New Roman" w:hAnsi="Times New Roman" w:cs="Times New Roman"/>
          <w:sz w:val="24"/>
          <w:szCs w:val="24"/>
        </w:rPr>
        <w:t xml:space="preserve"> for a</w:t>
      </w:r>
      <w:r w:rsidR="00B80C6F">
        <w:rPr>
          <w:rFonts w:ascii="Times New Roman" w:hAnsi="Times New Roman" w:cs="Times New Roman"/>
          <w:sz w:val="24"/>
          <w:szCs w:val="24"/>
        </w:rPr>
        <w:t xml:space="preserve"> land lease to</w:t>
      </w:r>
      <w:r w:rsidR="00B80C6F" w:rsidRPr="00527F2A">
        <w:rPr>
          <w:rFonts w:ascii="Times New Roman" w:hAnsi="Times New Roman" w:cs="Times New Roman"/>
          <w:sz w:val="24"/>
          <w:szCs w:val="24"/>
        </w:rPr>
        <w:t xml:space="preserve"> industrial and commercial tenant</w:t>
      </w:r>
      <w:r w:rsidR="00B80C6F">
        <w:rPr>
          <w:rFonts w:ascii="Times New Roman" w:hAnsi="Times New Roman" w:cs="Times New Roman"/>
          <w:sz w:val="24"/>
          <w:szCs w:val="24"/>
        </w:rPr>
        <w:t>s</w:t>
      </w:r>
      <w:r w:rsidR="00B80C6F" w:rsidRPr="00527F2A">
        <w:rPr>
          <w:rFonts w:ascii="Times New Roman" w:hAnsi="Times New Roman" w:cs="Times New Roman"/>
          <w:sz w:val="24"/>
          <w:szCs w:val="24"/>
        </w:rPr>
        <w:t xml:space="preserve"> </w:t>
      </w:r>
      <w:r w:rsidR="00B80C6F">
        <w:rPr>
          <w:rFonts w:ascii="Times New Roman" w:hAnsi="Times New Roman" w:cs="Times New Roman"/>
          <w:sz w:val="24"/>
          <w:szCs w:val="24"/>
        </w:rPr>
        <w:t>is</w:t>
      </w:r>
      <w:r w:rsidR="00B80C6F" w:rsidRPr="00527F2A">
        <w:rPr>
          <w:rFonts w:ascii="Times New Roman" w:hAnsi="Times New Roman" w:cs="Times New Roman"/>
          <w:sz w:val="24"/>
          <w:szCs w:val="24"/>
        </w:rPr>
        <w:t xml:space="preserve"> </w:t>
      </w:r>
      <w:r w:rsidR="00B80C6F">
        <w:rPr>
          <w:rFonts w:ascii="Times New Roman" w:hAnsi="Times New Roman" w:cs="Times New Roman"/>
          <w:sz w:val="24"/>
          <w:szCs w:val="24"/>
        </w:rPr>
        <w:t>five</w:t>
      </w:r>
      <w:r w:rsidR="00B80C6F" w:rsidRPr="00527F2A">
        <w:rPr>
          <w:rFonts w:ascii="Times New Roman" w:hAnsi="Times New Roman" w:cs="Times New Roman"/>
          <w:sz w:val="24"/>
          <w:szCs w:val="24"/>
        </w:rPr>
        <w:t xml:space="preserve"> year</w:t>
      </w:r>
      <w:r w:rsidR="00B80C6F">
        <w:rPr>
          <w:rFonts w:ascii="Times New Roman" w:hAnsi="Times New Roman" w:cs="Times New Roman"/>
          <w:sz w:val="24"/>
          <w:szCs w:val="24"/>
        </w:rPr>
        <w:t>s</w:t>
      </w:r>
      <w:r w:rsidR="00B80C6F" w:rsidRPr="00527F2A">
        <w:rPr>
          <w:rFonts w:ascii="Times New Roman" w:hAnsi="Times New Roman" w:cs="Times New Roman"/>
          <w:sz w:val="24"/>
          <w:szCs w:val="24"/>
        </w:rPr>
        <w:t xml:space="preserve"> </w:t>
      </w:r>
      <w:r w:rsidR="00B80C6F">
        <w:rPr>
          <w:rFonts w:ascii="Times New Roman" w:hAnsi="Times New Roman" w:cs="Times New Roman"/>
          <w:sz w:val="24"/>
          <w:szCs w:val="24"/>
        </w:rPr>
        <w:t>for the</w:t>
      </w:r>
      <w:r w:rsidR="00B80C6F" w:rsidRPr="00527F2A">
        <w:rPr>
          <w:rFonts w:ascii="Times New Roman" w:hAnsi="Times New Roman" w:cs="Times New Roman"/>
          <w:sz w:val="24"/>
          <w:szCs w:val="24"/>
        </w:rPr>
        <w:t xml:space="preserve"> </w:t>
      </w:r>
      <w:r w:rsidR="00B80C6F">
        <w:rPr>
          <w:rFonts w:ascii="Times New Roman" w:hAnsi="Times New Roman" w:cs="Times New Roman"/>
          <w:sz w:val="24"/>
          <w:szCs w:val="24"/>
        </w:rPr>
        <w:t xml:space="preserve">initial term </w:t>
      </w:r>
      <w:r w:rsidR="00B80C6F" w:rsidRPr="00527F2A">
        <w:rPr>
          <w:rFonts w:ascii="Times New Roman" w:hAnsi="Times New Roman" w:cs="Times New Roman"/>
          <w:sz w:val="24"/>
          <w:szCs w:val="24"/>
        </w:rPr>
        <w:t xml:space="preserve">with a </w:t>
      </w:r>
      <w:r w:rsidR="00B80C6F">
        <w:rPr>
          <w:rFonts w:ascii="Times New Roman" w:hAnsi="Times New Roman" w:cs="Times New Roman"/>
          <w:sz w:val="24"/>
          <w:szCs w:val="24"/>
        </w:rPr>
        <w:t>five-</w:t>
      </w:r>
      <w:r w:rsidR="00B80C6F" w:rsidRPr="00527F2A">
        <w:rPr>
          <w:rFonts w:ascii="Times New Roman" w:hAnsi="Times New Roman" w:cs="Times New Roman"/>
          <w:sz w:val="24"/>
          <w:szCs w:val="24"/>
        </w:rPr>
        <w:t>year extension option</w:t>
      </w:r>
      <w:r w:rsidR="00B80C6F">
        <w:rPr>
          <w:rFonts w:ascii="Times New Roman" w:hAnsi="Times New Roman" w:cs="Times New Roman"/>
          <w:sz w:val="24"/>
          <w:szCs w:val="24"/>
        </w:rPr>
        <w:t xml:space="preserve">.  </w:t>
      </w:r>
      <w:r w:rsidR="00B80C6F" w:rsidRPr="00527F2A">
        <w:rPr>
          <w:rFonts w:ascii="Times New Roman" w:hAnsi="Times New Roman" w:cs="Times New Roman"/>
          <w:sz w:val="24"/>
          <w:szCs w:val="24"/>
        </w:rPr>
        <w:t xml:space="preserve"> </w:t>
      </w:r>
      <w:r w:rsidR="00B80C6F">
        <w:rPr>
          <w:rFonts w:ascii="Times New Roman" w:hAnsi="Times New Roman" w:cs="Times New Roman"/>
          <w:sz w:val="24"/>
          <w:szCs w:val="24"/>
        </w:rPr>
        <w:t>S</w:t>
      </w:r>
      <w:r w:rsidR="00B80C6F" w:rsidRPr="00527F2A">
        <w:rPr>
          <w:rFonts w:ascii="Times New Roman" w:hAnsi="Times New Roman" w:cs="Times New Roman"/>
          <w:sz w:val="24"/>
          <w:szCs w:val="24"/>
        </w:rPr>
        <w:t>ome of the ports surveyed do not</w:t>
      </w:r>
      <w:r w:rsidR="00B80C6F">
        <w:rPr>
          <w:rFonts w:ascii="Times New Roman" w:hAnsi="Times New Roman" w:cs="Times New Roman"/>
          <w:sz w:val="24"/>
          <w:szCs w:val="24"/>
        </w:rPr>
        <w:t xml:space="preserve"> offer</w:t>
      </w:r>
      <w:r w:rsidR="00B80C6F" w:rsidRPr="00527F2A">
        <w:rPr>
          <w:rFonts w:ascii="Times New Roman" w:hAnsi="Times New Roman" w:cs="Times New Roman"/>
          <w:sz w:val="24"/>
          <w:szCs w:val="24"/>
        </w:rPr>
        <w:t xml:space="preserve"> a </w:t>
      </w:r>
      <w:r w:rsidR="002F2F19">
        <w:rPr>
          <w:rFonts w:ascii="Times New Roman" w:hAnsi="Times New Roman" w:cs="Times New Roman"/>
          <w:sz w:val="24"/>
          <w:szCs w:val="24"/>
        </w:rPr>
        <w:t>lease extension to all tenants</w:t>
      </w:r>
      <w:r w:rsidR="00543CEB">
        <w:rPr>
          <w:rFonts w:ascii="Times New Roman" w:hAnsi="Times New Roman" w:cs="Times New Roman"/>
          <w:sz w:val="24"/>
          <w:szCs w:val="24"/>
        </w:rPr>
        <w:t>.</w:t>
      </w:r>
      <w:r w:rsidR="00C43F3B">
        <w:rPr>
          <w:rFonts w:ascii="Times New Roman" w:hAnsi="Times New Roman" w:cs="Times New Roman"/>
          <w:sz w:val="24"/>
          <w:szCs w:val="24"/>
        </w:rPr>
        <w:t xml:space="preserve"> </w:t>
      </w:r>
    </w:p>
    <w:p w:rsidR="00E846EE" w:rsidRDefault="00460089" w:rsidP="002F2F19">
      <w:pPr>
        <w:ind w:left="360"/>
        <w:rPr>
          <w:rFonts w:ascii="Times New Roman" w:hAnsi="Times New Roman" w:cs="Times New Roman"/>
          <w:sz w:val="24"/>
          <w:szCs w:val="24"/>
        </w:rPr>
      </w:pPr>
      <w:r>
        <w:rPr>
          <w:rFonts w:ascii="Times New Roman" w:hAnsi="Times New Roman" w:cs="Times New Roman"/>
          <w:sz w:val="24"/>
          <w:szCs w:val="24"/>
        </w:rPr>
        <w:t>T</w:t>
      </w:r>
      <w:r w:rsidR="00E27070">
        <w:rPr>
          <w:rFonts w:ascii="Times New Roman" w:hAnsi="Times New Roman" w:cs="Times New Roman"/>
          <w:sz w:val="24"/>
          <w:szCs w:val="24"/>
        </w:rPr>
        <w:t>he need for flexibility</w:t>
      </w:r>
      <w:r w:rsidR="00EF3043">
        <w:rPr>
          <w:rFonts w:ascii="Times New Roman" w:hAnsi="Times New Roman" w:cs="Times New Roman"/>
          <w:sz w:val="24"/>
          <w:szCs w:val="24"/>
        </w:rPr>
        <w:t xml:space="preserve"> </w:t>
      </w:r>
      <w:r w:rsidR="00543CEB">
        <w:rPr>
          <w:rFonts w:ascii="Times New Roman" w:hAnsi="Times New Roman" w:cs="Times New Roman"/>
          <w:sz w:val="24"/>
          <w:szCs w:val="24"/>
        </w:rPr>
        <w:t xml:space="preserve">in setting lease terms as codified in policy </w:t>
      </w:r>
      <w:r w:rsidR="007669AE">
        <w:rPr>
          <w:rFonts w:ascii="Times New Roman" w:hAnsi="Times New Roman" w:cs="Times New Roman"/>
          <w:sz w:val="24"/>
          <w:szCs w:val="24"/>
        </w:rPr>
        <w:t>statements</w:t>
      </w:r>
      <w:r w:rsidR="00543CEB">
        <w:rPr>
          <w:rFonts w:ascii="Times New Roman" w:hAnsi="Times New Roman" w:cs="Times New Roman"/>
          <w:sz w:val="24"/>
          <w:szCs w:val="24"/>
        </w:rPr>
        <w:t xml:space="preserve"> was a common refrain by nearly all surveyed ports</w:t>
      </w:r>
      <w:r w:rsidR="007669AE">
        <w:rPr>
          <w:rFonts w:ascii="Times New Roman" w:hAnsi="Times New Roman" w:cs="Times New Roman"/>
          <w:sz w:val="24"/>
          <w:szCs w:val="24"/>
        </w:rPr>
        <w:t>.</w:t>
      </w:r>
      <w:r w:rsidR="00C43F3B">
        <w:rPr>
          <w:rFonts w:ascii="Times New Roman" w:hAnsi="Times New Roman" w:cs="Times New Roman"/>
          <w:sz w:val="24"/>
          <w:szCs w:val="24"/>
        </w:rPr>
        <w:t xml:space="preserve"> </w:t>
      </w:r>
      <w:r w:rsidR="00FA72B3" w:rsidRPr="00527F2A">
        <w:rPr>
          <w:rFonts w:ascii="Times New Roman" w:hAnsi="Times New Roman" w:cs="Times New Roman"/>
          <w:sz w:val="24"/>
          <w:szCs w:val="24"/>
        </w:rPr>
        <w:t xml:space="preserve">For </w:t>
      </w:r>
      <w:r w:rsidR="00ED2A80" w:rsidRPr="00527F2A">
        <w:rPr>
          <w:rFonts w:ascii="Times New Roman" w:hAnsi="Times New Roman" w:cs="Times New Roman"/>
          <w:sz w:val="24"/>
          <w:szCs w:val="24"/>
        </w:rPr>
        <w:t>example</w:t>
      </w:r>
      <w:r w:rsidR="00ED2A80">
        <w:rPr>
          <w:rFonts w:ascii="Times New Roman" w:hAnsi="Times New Roman" w:cs="Times New Roman"/>
          <w:sz w:val="24"/>
          <w:szCs w:val="24"/>
        </w:rPr>
        <w:t>,</w:t>
      </w:r>
      <w:r w:rsidR="00ED2A80" w:rsidRPr="00527F2A">
        <w:rPr>
          <w:rFonts w:ascii="Times New Roman" w:hAnsi="Times New Roman" w:cs="Times New Roman"/>
          <w:sz w:val="24"/>
          <w:szCs w:val="24"/>
        </w:rPr>
        <w:t xml:space="preserve"> one</w:t>
      </w:r>
      <w:r w:rsidR="00FA72B3" w:rsidRPr="00527F2A">
        <w:rPr>
          <w:rFonts w:ascii="Times New Roman" w:hAnsi="Times New Roman" w:cs="Times New Roman"/>
          <w:sz w:val="24"/>
          <w:szCs w:val="24"/>
        </w:rPr>
        <w:t xml:space="preserve"> </w:t>
      </w:r>
      <w:r w:rsidR="00ED2A80" w:rsidRPr="00527F2A">
        <w:rPr>
          <w:rFonts w:ascii="Times New Roman" w:hAnsi="Times New Roman" w:cs="Times New Roman"/>
          <w:sz w:val="24"/>
          <w:szCs w:val="24"/>
        </w:rPr>
        <w:t xml:space="preserve">surveyed </w:t>
      </w:r>
      <w:r w:rsidR="00543CEB">
        <w:rPr>
          <w:rFonts w:ascii="Times New Roman" w:hAnsi="Times New Roman" w:cs="Times New Roman"/>
          <w:sz w:val="24"/>
          <w:szCs w:val="24"/>
        </w:rPr>
        <w:t xml:space="preserve">port </w:t>
      </w:r>
      <w:r>
        <w:rPr>
          <w:rFonts w:ascii="Times New Roman" w:hAnsi="Times New Roman" w:cs="Times New Roman"/>
          <w:sz w:val="24"/>
          <w:szCs w:val="24"/>
        </w:rPr>
        <w:t>told us they could</w:t>
      </w:r>
      <w:r w:rsidRPr="00527F2A">
        <w:rPr>
          <w:rFonts w:ascii="Times New Roman" w:hAnsi="Times New Roman" w:cs="Times New Roman"/>
          <w:sz w:val="24"/>
          <w:szCs w:val="24"/>
        </w:rPr>
        <w:t xml:space="preserve"> </w:t>
      </w:r>
      <w:r w:rsidR="00ED2A80" w:rsidRPr="00527F2A">
        <w:rPr>
          <w:rFonts w:ascii="Times New Roman" w:hAnsi="Times New Roman" w:cs="Times New Roman"/>
          <w:sz w:val="24"/>
          <w:szCs w:val="24"/>
        </w:rPr>
        <w:t>amend</w:t>
      </w:r>
      <w:r w:rsidR="00F66685">
        <w:rPr>
          <w:rFonts w:ascii="Times New Roman" w:hAnsi="Times New Roman" w:cs="Times New Roman"/>
          <w:sz w:val="24"/>
          <w:szCs w:val="24"/>
        </w:rPr>
        <w:t xml:space="preserve"> </w:t>
      </w:r>
      <w:r>
        <w:rPr>
          <w:rFonts w:ascii="Times New Roman" w:hAnsi="Times New Roman" w:cs="Times New Roman"/>
          <w:sz w:val="24"/>
          <w:szCs w:val="24"/>
        </w:rPr>
        <w:t>their</w:t>
      </w:r>
      <w:r w:rsidR="00FA72B3" w:rsidRPr="00527F2A">
        <w:rPr>
          <w:rFonts w:ascii="Times New Roman" w:hAnsi="Times New Roman" w:cs="Times New Roman"/>
          <w:sz w:val="24"/>
          <w:szCs w:val="24"/>
        </w:rPr>
        <w:t xml:space="preserve"> leasing </w:t>
      </w:r>
      <w:r w:rsidR="006D722F" w:rsidRPr="00527F2A">
        <w:rPr>
          <w:rFonts w:ascii="Times New Roman" w:hAnsi="Times New Roman" w:cs="Times New Roman"/>
          <w:sz w:val="24"/>
          <w:szCs w:val="24"/>
        </w:rPr>
        <w:t>polic</w:t>
      </w:r>
      <w:r w:rsidR="006D722F">
        <w:rPr>
          <w:rFonts w:ascii="Times New Roman" w:hAnsi="Times New Roman" w:cs="Times New Roman"/>
          <w:sz w:val="24"/>
          <w:szCs w:val="24"/>
        </w:rPr>
        <w:t>ies</w:t>
      </w:r>
      <w:r w:rsidR="006D722F" w:rsidRPr="00527F2A">
        <w:rPr>
          <w:rFonts w:ascii="Times New Roman" w:hAnsi="Times New Roman" w:cs="Times New Roman"/>
          <w:sz w:val="24"/>
          <w:szCs w:val="24"/>
        </w:rPr>
        <w:t xml:space="preserve"> </w:t>
      </w:r>
      <w:r w:rsidR="00F66685">
        <w:rPr>
          <w:rFonts w:ascii="Times New Roman" w:hAnsi="Times New Roman" w:cs="Times New Roman"/>
          <w:sz w:val="24"/>
          <w:szCs w:val="24"/>
        </w:rPr>
        <w:t xml:space="preserve">only </w:t>
      </w:r>
      <w:r w:rsidR="0062286B">
        <w:rPr>
          <w:rFonts w:ascii="Times New Roman" w:hAnsi="Times New Roman" w:cs="Times New Roman"/>
          <w:sz w:val="24"/>
          <w:szCs w:val="24"/>
        </w:rPr>
        <w:t xml:space="preserve">with approval from </w:t>
      </w:r>
      <w:r w:rsidR="00C9023B">
        <w:rPr>
          <w:rFonts w:ascii="Times New Roman" w:hAnsi="Times New Roman" w:cs="Times New Roman"/>
          <w:sz w:val="24"/>
          <w:szCs w:val="24"/>
        </w:rPr>
        <w:t>their</w:t>
      </w:r>
      <w:r w:rsidR="00FA72B3" w:rsidRPr="00527F2A">
        <w:rPr>
          <w:rFonts w:ascii="Times New Roman" w:hAnsi="Times New Roman" w:cs="Times New Roman"/>
          <w:sz w:val="24"/>
          <w:szCs w:val="24"/>
        </w:rPr>
        <w:t xml:space="preserve"> tenant association</w:t>
      </w:r>
      <w:r>
        <w:rPr>
          <w:rFonts w:ascii="Times New Roman" w:hAnsi="Times New Roman" w:cs="Times New Roman"/>
          <w:sz w:val="24"/>
          <w:szCs w:val="24"/>
        </w:rPr>
        <w:t xml:space="preserve">, while allowing </w:t>
      </w:r>
      <w:r w:rsidR="0062286B">
        <w:rPr>
          <w:rFonts w:ascii="Times New Roman" w:hAnsi="Times New Roman" w:cs="Times New Roman"/>
          <w:sz w:val="24"/>
          <w:szCs w:val="24"/>
        </w:rPr>
        <w:t xml:space="preserve">stakeholders </w:t>
      </w:r>
      <w:r>
        <w:rPr>
          <w:rFonts w:ascii="Times New Roman" w:hAnsi="Times New Roman" w:cs="Times New Roman"/>
          <w:sz w:val="24"/>
          <w:szCs w:val="24"/>
        </w:rPr>
        <w:t>to</w:t>
      </w:r>
      <w:r w:rsidR="0062286B">
        <w:rPr>
          <w:rFonts w:ascii="Times New Roman" w:hAnsi="Times New Roman" w:cs="Times New Roman"/>
          <w:sz w:val="24"/>
          <w:szCs w:val="24"/>
        </w:rPr>
        <w:t xml:space="preserve"> offer input if they feel it is necessary.</w:t>
      </w:r>
      <w:r w:rsidR="00FA72B3" w:rsidRPr="00527F2A">
        <w:rPr>
          <w:rFonts w:ascii="Times New Roman" w:hAnsi="Times New Roman" w:cs="Times New Roman"/>
          <w:sz w:val="24"/>
          <w:szCs w:val="24"/>
        </w:rPr>
        <w:t xml:space="preserve">  </w:t>
      </w:r>
      <w:r>
        <w:rPr>
          <w:rFonts w:ascii="Times New Roman" w:hAnsi="Times New Roman" w:cs="Times New Roman"/>
          <w:sz w:val="24"/>
          <w:szCs w:val="24"/>
        </w:rPr>
        <w:t>In another case a</w:t>
      </w:r>
      <w:r w:rsidRPr="00527F2A">
        <w:rPr>
          <w:rFonts w:ascii="Times New Roman" w:hAnsi="Times New Roman" w:cs="Times New Roman"/>
          <w:sz w:val="24"/>
          <w:szCs w:val="24"/>
        </w:rPr>
        <w:t xml:space="preserve"> </w:t>
      </w:r>
      <w:r w:rsidR="00FA72B3" w:rsidRPr="00527F2A">
        <w:rPr>
          <w:rFonts w:ascii="Times New Roman" w:hAnsi="Times New Roman" w:cs="Times New Roman"/>
          <w:sz w:val="24"/>
          <w:szCs w:val="24"/>
        </w:rPr>
        <w:t>port</w:t>
      </w:r>
      <w:r>
        <w:rPr>
          <w:rFonts w:ascii="Times New Roman" w:hAnsi="Times New Roman" w:cs="Times New Roman"/>
          <w:sz w:val="24"/>
          <w:szCs w:val="24"/>
        </w:rPr>
        <w:t>’s</w:t>
      </w:r>
      <w:r w:rsidR="00FF04D5">
        <w:rPr>
          <w:rFonts w:ascii="Times New Roman" w:hAnsi="Times New Roman" w:cs="Times New Roman"/>
          <w:sz w:val="24"/>
          <w:szCs w:val="24"/>
        </w:rPr>
        <w:t xml:space="preserve"> </w:t>
      </w:r>
      <w:r w:rsidR="00F66685">
        <w:rPr>
          <w:rFonts w:ascii="Times New Roman" w:hAnsi="Times New Roman" w:cs="Times New Roman"/>
          <w:sz w:val="24"/>
          <w:szCs w:val="24"/>
        </w:rPr>
        <w:t xml:space="preserve">governing </w:t>
      </w:r>
      <w:r w:rsidR="00ED2A80" w:rsidRPr="00527F2A">
        <w:rPr>
          <w:rFonts w:ascii="Times New Roman" w:hAnsi="Times New Roman" w:cs="Times New Roman"/>
          <w:sz w:val="24"/>
          <w:szCs w:val="24"/>
        </w:rPr>
        <w:t xml:space="preserve">board </w:t>
      </w:r>
      <w:r w:rsidR="00ED2A80">
        <w:rPr>
          <w:rFonts w:ascii="Times New Roman" w:hAnsi="Times New Roman" w:cs="Times New Roman"/>
          <w:sz w:val="24"/>
          <w:szCs w:val="24"/>
        </w:rPr>
        <w:t>has</w:t>
      </w:r>
      <w:r w:rsidR="00F66685">
        <w:rPr>
          <w:rFonts w:ascii="Times New Roman" w:hAnsi="Times New Roman" w:cs="Times New Roman"/>
          <w:sz w:val="24"/>
          <w:szCs w:val="24"/>
        </w:rPr>
        <w:t xml:space="preserve"> delegated signature authority for</w:t>
      </w:r>
      <w:r w:rsidR="00FA72B3" w:rsidRPr="00527F2A">
        <w:rPr>
          <w:rFonts w:ascii="Times New Roman" w:hAnsi="Times New Roman" w:cs="Times New Roman"/>
          <w:sz w:val="24"/>
          <w:szCs w:val="24"/>
        </w:rPr>
        <w:t xml:space="preserve"> lease agreements less than a year</w:t>
      </w:r>
      <w:r w:rsidR="00F66685">
        <w:rPr>
          <w:rFonts w:ascii="Times New Roman" w:hAnsi="Times New Roman" w:cs="Times New Roman"/>
          <w:sz w:val="24"/>
          <w:szCs w:val="24"/>
        </w:rPr>
        <w:t xml:space="preserve"> in duration</w:t>
      </w:r>
      <w:r>
        <w:rPr>
          <w:rFonts w:ascii="Times New Roman" w:hAnsi="Times New Roman" w:cs="Times New Roman"/>
          <w:sz w:val="24"/>
          <w:szCs w:val="24"/>
        </w:rPr>
        <w:t>,</w:t>
      </w:r>
      <w:r w:rsidR="00EF3043">
        <w:rPr>
          <w:rFonts w:ascii="Times New Roman" w:hAnsi="Times New Roman" w:cs="Times New Roman"/>
          <w:sz w:val="24"/>
          <w:szCs w:val="24"/>
        </w:rPr>
        <w:t xml:space="preserve"> while l</w:t>
      </w:r>
      <w:r w:rsidR="00F66685">
        <w:rPr>
          <w:rFonts w:ascii="Times New Roman" w:hAnsi="Times New Roman" w:cs="Times New Roman"/>
          <w:sz w:val="24"/>
          <w:szCs w:val="24"/>
        </w:rPr>
        <w:t>ease</w:t>
      </w:r>
      <w:r w:rsidR="00EF3043">
        <w:rPr>
          <w:rFonts w:ascii="Times New Roman" w:hAnsi="Times New Roman" w:cs="Times New Roman"/>
          <w:sz w:val="24"/>
          <w:szCs w:val="24"/>
        </w:rPr>
        <w:t>s with</w:t>
      </w:r>
      <w:r w:rsidR="00F66685">
        <w:rPr>
          <w:rFonts w:ascii="Times New Roman" w:hAnsi="Times New Roman" w:cs="Times New Roman"/>
          <w:sz w:val="24"/>
          <w:szCs w:val="24"/>
        </w:rPr>
        <w:t xml:space="preserve"> terms </w:t>
      </w:r>
      <w:r w:rsidR="00FA72B3" w:rsidRPr="00527F2A">
        <w:rPr>
          <w:rFonts w:ascii="Times New Roman" w:hAnsi="Times New Roman" w:cs="Times New Roman"/>
          <w:sz w:val="24"/>
          <w:szCs w:val="24"/>
        </w:rPr>
        <w:t xml:space="preserve">over a </w:t>
      </w:r>
      <w:r w:rsidR="00D264CE" w:rsidRPr="00527F2A">
        <w:rPr>
          <w:rFonts w:ascii="Times New Roman" w:hAnsi="Times New Roman" w:cs="Times New Roman"/>
          <w:sz w:val="24"/>
          <w:szCs w:val="24"/>
        </w:rPr>
        <w:t>year</w:t>
      </w:r>
      <w:r w:rsidR="00D264CE">
        <w:rPr>
          <w:rFonts w:ascii="Times New Roman" w:hAnsi="Times New Roman" w:cs="Times New Roman"/>
          <w:sz w:val="24"/>
          <w:szCs w:val="24"/>
        </w:rPr>
        <w:t xml:space="preserve"> </w:t>
      </w:r>
      <w:r w:rsidR="00D264CE" w:rsidRPr="00527F2A">
        <w:rPr>
          <w:rFonts w:ascii="Times New Roman" w:hAnsi="Times New Roman" w:cs="Times New Roman"/>
          <w:sz w:val="24"/>
          <w:szCs w:val="24"/>
        </w:rPr>
        <w:t>lease</w:t>
      </w:r>
      <w:r w:rsidR="00647A05" w:rsidRPr="00527F2A">
        <w:rPr>
          <w:rFonts w:ascii="Times New Roman" w:hAnsi="Times New Roman" w:cs="Times New Roman"/>
          <w:sz w:val="24"/>
          <w:szCs w:val="24"/>
        </w:rPr>
        <w:t xml:space="preserve"> extension </w:t>
      </w:r>
      <w:r w:rsidR="006174DA">
        <w:rPr>
          <w:rFonts w:ascii="Times New Roman" w:hAnsi="Times New Roman" w:cs="Times New Roman"/>
          <w:sz w:val="24"/>
          <w:szCs w:val="24"/>
        </w:rPr>
        <w:t xml:space="preserve">to all tenants.  </w:t>
      </w:r>
      <w:r w:rsidR="00E846EE">
        <w:rPr>
          <w:rFonts w:ascii="Times New Roman" w:hAnsi="Times New Roman" w:cs="Times New Roman"/>
          <w:sz w:val="24"/>
          <w:szCs w:val="24"/>
        </w:rPr>
        <w:t>A</w:t>
      </w:r>
      <w:r w:rsidR="00E846EE" w:rsidRPr="00527F2A">
        <w:rPr>
          <w:rFonts w:ascii="Times New Roman" w:hAnsi="Times New Roman" w:cs="Times New Roman"/>
          <w:sz w:val="24"/>
          <w:szCs w:val="24"/>
        </w:rPr>
        <w:t>l</w:t>
      </w:r>
      <w:r w:rsidR="00E846EE">
        <w:rPr>
          <w:rFonts w:ascii="Times New Roman" w:hAnsi="Times New Roman" w:cs="Times New Roman"/>
          <w:sz w:val="24"/>
          <w:szCs w:val="24"/>
        </w:rPr>
        <w:t xml:space="preserve">most all ports surveyed suggested </w:t>
      </w:r>
      <w:r w:rsidR="00E846EE" w:rsidRPr="00527F2A">
        <w:rPr>
          <w:rFonts w:ascii="Times New Roman" w:hAnsi="Times New Roman" w:cs="Times New Roman"/>
          <w:sz w:val="24"/>
          <w:szCs w:val="24"/>
        </w:rPr>
        <w:t xml:space="preserve">that the </w:t>
      </w:r>
      <w:r w:rsidR="00E846EE">
        <w:rPr>
          <w:rFonts w:ascii="Times New Roman" w:hAnsi="Times New Roman" w:cs="Times New Roman"/>
          <w:sz w:val="24"/>
          <w:szCs w:val="24"/>
        </w:rPr>
        <w:t xml:space="preserve">guideline </w:t>
      </w:r>
      <w:r w:rsidR="00E846EE" w:rsidRPr="00527F2A">
        <w:rPr>
          <w:rFonts w:ascii="Times New Roman" w:hAnsi="Times New Roman" w:cs="Times New Roman"/>
          <w:sz w:val="24"/>
          <w:szCs w:val="24"/>
        </w:rPr>
        <w:t>leas</w:t>
      </w:r>
      <w:r w:rsidR="00E846EE">
        <w:rPr>
          <w:rFonts w:ascii="Times New Roman" w:hAnsi="Times New Roman" w:cs="Times New Roman"/>
          <w:sz w:val="24"/>
          <w:szCs w:val="24"/>
        </w:rPr>
        <w:t>e</w:t>
      </w:r>
      <w:r w:rsidR="00E846EE" w:rsidRPr="00527F2A">
        <w:rPr>
          <w:rFonts w:ascii="Times New Roman" w:hAnsi="Times New Roman" w:cs="Times New Roman"/>
          <w:sz w:val="24"/>
          <w:szCs w:val="24"/>
        </w:rPr>
        <w:t xml:space="preserve"> terms and extensions </w:t>
      </w:r>
      <w:r w:rsidR="00E846EE">
        <w:rPr>
          <w:rFonts w:ascii="Times New Roman" w:hAnsi="Times New Roman" w:cs="Times New Roman"/>
          <w:sz w:val="24"/>
          <w:szCs w:val="24"/>
        </w:rPr>
        <w:t>could</w:t>
      </w:r>
      <w:r w:rsidR="00E846EE" w:rsidRPr="00527F2A">
        <w:rPr>
          <w:rFonts w:ascii="Times New Roman" w:hAnsi="Times New Roman" w:cs="Times New Roman"/>
          <w:sz w:val="24"/>
          <w:szCs w:val="24"/>
        </w:rPr>
        <w:t xml:space="preserve"> be changed if there is a long</w:t>
      </w:r>
      <w:r w:rsidR="00E846EE">
        <w:rPr>
          <w:rFonts w:ascii="Times New Roman" w:hAnsi="Times New Roman" w:cs="Times New Roman"/>
          <w:sz w:val="24"/>
          <w:szCs w:val="24"/>
        </w:rPr>
        <w:t>-</w:t>
      </w:r>
      <w:r w:rsidR="00E846EE" w:rsidRPr="00527F2A">
        <w:rPr>
          <w:rFonts w:ascii="Times New Roman" w:hAnsi="Times New Roman" w:cs="Times New Roman"/>
          <w:sz w:val="24"/>
          <w:szCs w:val="24"/>
        </w:rPr>
        <w:t xml:space="preserve">term economic benefit to the surrounding area. One port surveyed signed a </w:t>
      </w:r>
      <w:r w:rsidR="00E846EE">
        <w:rPr>
          <w:rFonts w:ascii="Times New Roman" w:hAnsi="Times New Roman" w:cs="Times New Roman"/>
          <w:sz w:val="24"/>
          <w:szCs w:val="24"/>
        </w:rPr>
        <w:t>forty-</w:t>
      </w:r>
      <w:r w:rsidR="00E846EE" w:rsidRPr="00527F2A">
        <w:rPr>
          <w:rFonts w:ascii="Times New Roman" w:hAnsi="Times New Roman" w:cs="Times New Roman"/>
          <w:sz w:val="24"/>
          <w:szCs w:val="24"/>
        </w:rPr>
        <w:t xml:space="preserve">year lease with a </w:t>
      </w:r>
      <w:r w:rsidR="00E846EE">
        <w:rPr>
          <w:rFonts w:ascii="Times New Roman" w:hAnsi="Times New Roman" w:cs="Times New Roman"/>
          <w:sz w:val="24"/>
          <w:szCs w:val="24"/>
        </w:rPr>
        <w:t>marine terminal operator based on</w:t>
      </w:r>
      <w:r w:rsidR="00E846EE" w:rsidRPr="00527F2A">
        <w:rPr>
          <w:rFonts w:ascii="Times New Roman" w:hAnsi="Times New Roman" w:cs="Times New Roman"/>
          <w:sz w:val="24"/>
          <w:szCs w:val="24"/>
        </w:rPr>
        <w:t xml:space="preserve"> the </w:t>
      </w:r>
      <w:r w:rsidR="00E846EE">
        <w:rPr>
          <w:rFonts w:ascii="Times New Roman" w:hAnsi="Times New Roman" w:cs="Times New Roman"/>
          <w:sz w:val="24"/>
          <w:szCs w:val="24"/>
        </w:rPr>
        <w:t xml:space="preserve">sizeable </w:t>
      </w:r>
      <w:r w:rsidR="00E846EE" w:rsidRPr="00527F2A">
        <w:rPr>
          <w:rFonts w:ascii="Times New Roman" w:hAnsi="Times New Roman" w:cs="Times New Roman"/>
          <w:sz w:val="24"/>
          <w:szCs w:val="24"/>
        </w:rPr>
        <w:t xml:space="preserve">investment the tenant </w:t>
      </w:r>
      <w:r w:rsidR="00E846EE">
        <w:rPr>
          <w:rFonts w:ascii="Times New Roman" w:hAnsi="Times New Roman" w:cs="Times New Roman"/>
          <w:sz w:val="24"/>
          <w:szCs w:val="24"/>
        </w:rPr>
        <w:t>would</w:t>
      </w:r>
      <w:r w:rsidR="00E846EE" w:rsidRPr="00527F2A">
        <w:rPr>
          <w:rFonts w:ascii="Times New Roman" w:hAnsi="Times New Roman" w:cs="Times New Roman"/>
          <w:sz w:val="24"/>
          <w:szCs w:val="24"/>
        </w:rPr>
        <w:t xml:space="preserve"> contribute to the harbor</w:t>
      </w:r>
      <w:r w:rsidR="00E846EE">
        <w:rPr>
          <w:rFonts w:ascii="Times New Roman" w:hAnsi="Times New Roman" w:cs="Times New Roman"/>
          <w:sz w:val="24"/>
          <w:szCs w:val="24"/>
        </w:rPr>
        <w:t xml:space="preserve"> improvements - </w:t>
      </w:r>
      <w:r w:rsidR="00E846EE" w:rsidRPr="00527F2A">
        <w:rPr>
          <w:rFonts w:ascii="Times New Roman" w:hAnsi="Times New Roman" w:cs="Times New Roman"/>
          <w:sz w:val="24"/>
          <w:szCs w:val="24"/>
        </w:rPr>
        <w:t xml:space="preserve">estimated </w:t>
      </w:r>
      <w:r w:rsidR="007669AE">
        <w:rPr>
          <w:rFonts w:ascii="Times New Roman" w:hAnsi="Times New Roman" w:cs="Times New Roman"/>
          <w:sz w:val="24"/>
          <w:szCs w:val="24"/>
        </w:rPr>
        <w:t xml:space="preserve">at </w:t>
      </w:r>
      <w:r w:rsidR="007669AE" w:rsidRPr="00527F2A">
        <w:rPr>
          <w:rFonts w:ascii="Times New Roman" w:hAnsi="Times New Roman" w:cs="Times New Roman"/>
          <w:sz w:val="24"/>
          <w:szCs w:val="24"/>
        </w:rPr>
        <w:t>$</w:t>
      </w:r>
      <w:r w:rsidR="00E846EE" w:rsidRPr="00527F2A">
        <w:rPr>
          <w:rFonts w:ascii="Times New Roman" w:hAnsi="Times New Roman" w:cs="Times New Roman"/>
          <w:sz w:val="24"/>
          <w:szCs w:val="24"/>
        </w:rPr>
        <w:t>500</w:t>
      </w:r>
      <w:r w:rsidR="00E846EE">
        <w:rPr>
          <w:rFonts w:ascii="Times New Roman" w:hAnsi="Times New Roman" w:cs="Times New Roman"/>
          <w:sz w:val="24"/>
          <w:szCs w:val="24"/>
        </w:rPr>
        <w:t xml:space="preserve"> </w:t>
      </w:r>
      <w:r w:rsidR="00E846EE" w:rsidRPr="00527F2A">
        <w:rPr>
          <w:rFonts w:ascii="Times New Roman" w:hAnsi="Times New Roman" w:cs="Times New Roman"/>
          <w:sz w:val="24"/>
          <w:szCs w:val="24"/>
        </w:rPr>
        <w:t>million</w:t>
      </w:r>
      <w:r w:rsidR="00E846EE">
        <w:rPr>
          <w:rFonts w:ascii="Times New Roman" w:hAnsi="Times New Roman" w:cs="Times New Roman"/>
          <w:sz w:val="24"/>
          <w:szCs w:val="24"/>
        </w:rPr>
        <w:t>.</w:t>
      </w:r>
    </w:p>
    <w:p w:rsidR="00FA72B3" w:rsidRPr="00527F2A" w:rsidRDefault="00460089" w:rsidP="002F2F19">
      <w:pPr>
        <w:ind w:left="360"/>
        <w:rPr>
          <w:rFonts w:ascii="Times New Roman" w:hAnsi="Times New Roman" w:cs="Times New Roman"/>
          <w:sz w:val="24"/>
          <w:szCs w:val="24"/>
        </w:rPr>
      </w:pPr>
      <w:r>
        <w:rPr>
          <w:rFonts w:ascii="Times New Roman" w:hAnsi="Times New Roman" w:cs="Times New Roman"/>
          <w:sz w:val="24"/>
          <w:szCs w:val="24"/>
        </w:rPr>
        <w:t>While m</w:t>
      </w:r>
      <w:r w:rsidR="00FC32D3">
        <w:rPr>
          <w:rFonts w:ascii="Times New Roman" w:hAnsi="Times New Roman" w:cs="Times New Roman"/>
          <w:sz w:val="24"/>
          <w:szCs w:val="24"/>
        </w:rPr>
        <w:t>ost</w:t>
      </w:r>
      <w:r w:rsidR="007502E1">
        <w:rPr>
          <w:rFonts w:ascii="Times New Roman" w:hAnsi="Times New Roman" w:cs="Times New Roman"/>
          <w:sz w:val="24"/>
          <w:szCs w:val="24"/>
        </w:rPr>
        <w:t xml:space="preserve"> ports </w:t>
      </w:r>
      <w:r>
        <w:rPr>
          <w:rFonts w:ascii="Times New Roman" w:hAnsi="Times New Roman" w:cs="Times New Roman"/>
          <w:sz w:val="24"/>
          <w:szCs w:val="24"/>
        </w:rPr>
        <w:t xml:space="preserve">understood the need </w:t>
      </w:r>
      <w:r w:rsidR="006174DA">
        <w:rPr>
          <w:rFonts w:ascii="Times New Roman" w:hAnsi="Times New Roman" w:cs="Times New Roman"/>
          <w:sz w:val="24"/>
          <w:szCs w:val="24"/>
        </w:rPr>
        <w:t>for consistency in</w:t>
      </w:r>
      <w:r>
        <w:rPr>
          <w:rFonts w:ascii="Times New Roman" w:hAnsi="Times New Roman" w:cs="Times New Roman"/>
          <w:sz w:val="24"/>
          <w:szCs w:val="24"/>
        </w:rPr>
        <w:t xml:space="preserve"> setting</w:t>
      </w:r>
      <w:r w:rsidR="006174DA">
        <w:rPr>
          <w:rFonts w:ascii="Times New Roman" w:hAnsi="Times New Roman" w:cs="Times New Roman"/>
          <w:sz w:val="24"/>
          <w:szCs w:val="24"/>
        </w:rPr>
        <w:t xml:space="preserve"> </w:t>
      </w:r>
      <w:r w:rsidR="00647A05" w:rsidRPr="00527F2A">
        <w:rPr>
          <w:rFonts w:ascii="Times New Roman" w:hAnsi="Times New Roman" w:cs="Times New Roman"/>
          <w:sz w:val="24"/>
          <w:szCs w:val="24"/>
        </w:rPr>
        <w:t>lease terms</w:t>
      </w:r>
      <w:r>
        <w:rPr>
          <w:rFonts w:ascii="Times New Roman" w:hAnsi="Times New Roman" w:cs="Times New Roman"/>
          <w:sz w:val="24"/>
          <w:szCs w:val="24"/>
        </w:rPr>
        <w:t>, the need for flexibility in finalizing the business terms of a lease</w:t>
      </w:r>
      <w:r w:rsidR="00E846EE">
        <w:rPr>
          <w:rFonts w:ascii="Times New Roman" w:hAnsi="Times New Roman" w:cs="Times New Roman"/>
          <w:sz w:val="24"/>
          <w:szCs w:val="24"/>
        </w:rPr>
        <w:t xml:space="preserve"> was paramount</w:t>
      </w:r>
      <w:r w:rsidR="00FC32D3">
        <w:rPr>
          <w:rFonts w:ascii="Times New Roman" w:hAnsi="Times New Roman" w:cs="Times New Roman"/>
          <w:sz w:val="24"/>
          <w:szCs w:val="24"/>
        </w:rPr>
        <w:t xml:space="preserve">.  </w:t>
      </w:r>
      <w:r w:rsidR="00D73D99">
        <w:rPr>
          <w:rFonts w:ascii="Times New Roman" w:hAnsi="Times New Roman" w:cs="Times New Roman"/>
          <w:sz w:val="24"/>
          <w:szCs w:val="24"/>
        </w:rPr>
        <w:t xml:space="preserve"> </w:t>
      </w:r>
    </w:p>
    <w:p w:rsidR="00D51C43" w:rsidRPr="00C6587C" w:rsidRDefault="00D51C43" w:rsidP="00851B12">
      <w:pPr>
        <w:ind w:left="360"/>
        <w:rPr>
          <w:rFonts w:ascii="Times New Roman" w:hAnsi="Times New Roman" w:cs="Times New Roman"/>
          <w:b/>
          <w:sz w:val="24"/>
          <w:szCs w:val="24"/>
        </w:rPr>
      </w:pPr>
      <w:r w:rsidRPr="00C6587C">
        <w:rPr>
          <w:rFonts w:ascii="Times New Roman" w:hAnsi="Times New Roman" w:cs="Times New Roman"/>
          <w:b/>
          <w:sz w:val="24"/>
          <w:szCs w:val="24"/>
        </w:rPr>
        <w:t xml:space="preserve">Leasing </w:t>
      </w:r>
      <w:r w:rsidR="00AE0E3D">
        <w:rPr>
          <w:rFonts w:ascii="Times New Roman" w:hAnsi="Times New Roman" w:cs="Times New Roman"/>
          <w:b/>
          <w:sz w:val="24"/>
          <w:szCs w:val="24"/>
        </w:rPr>
        <w:t>Practices</w:t>
      </w:r>
      <w:r w:rsidRPr="00C6587C">
        <w:rPr>
          <w:rFonts w:ascii="Times New Roman" w:hAnsi="Times New Roman" w:cs="Times New Roman"/>
          <w:b/>
          <w:sz w:val="24"/>
          <w:szCs w:val="24"/>
        </w:rPr>
        <w:t xml:space="preserve"> </w:t>
      </w:r>
    </w:p>
    <w:p w:rsidR="005A5F54" w:rsidRPr="005A5F54" w:rsidRDefault="00D51C43" w:rsidP="005A5F54">
      <w:pPr>
        <w:ind w:left="360"/>
        <w:rPr>
          <w:rFonts w:ascii="Times New Roman" w:hAnsi="Times New Roman" w:cs="Times New Roman"/>
          <w:sz w:val="24"/>
          <w:szCs w:val="24"/>
        </w:rPr>
      </w:pPr>
      <w:r w:rsidRPr="00527F2A">
        <w:rPr>
          <w:rFonts w:ascii="Times New Roman" w:hAnsi="Times New Roman" w:cs="Times New Roman"/>
          <w:sz w:val="24"/>
          <w:szCs w:val="24"/>
        </w:rPr>
        <w:t xml:space="preserve">Leasing </w:t>
      </w:r>
      <w:r w:rsidR="00C6587C">
        <w:rPr>
          <w:rFonts w:ascii="Times New Roman" w:hAnsi="Times New Roman" w:cs="Times New Roman"/>
          <w:sz w:val="24"/>
          <w:szCs w:val="24"/>
        </w:rPr>
        <w:t>P</w:t>
      </w:r>
      <w:r w:rsidR="00C6587C" w:rsidRPr="00527F2A">
        <w:rPr>
          <w:rFonts w:ascii="Times New Roman" w:hAnsi="Times New Roman" w:cs="Times New Roman"/>
          <w:sz w:val="24"/>
          <w:szCs w:val="24"/>
        </w:rPr>
        <w:t xml:space="preserve">rocedures </w:t>
      </w:r>
      <w:r w:rsidR="00C6587C">
        <w:rPr>
          <w:rFonts w:ascii="Times New Roman" w:hAnsi="Times New Roman" w:cs="Times New Roman"/>
          <w:sz w:val="24"/>
          <w:szCs w:val="24"/>
        </w:rPr>
        <w:t>govern</w:t>
      </w:r>
      <w:r w:rsidR="007473F3">
        <w:rPr>
          <w:rFonts w:ascii="Times New Roman" w:hAnsi="Times New Roman" w:cs="Times New Roman"/>
          <w:sz w:val="24"/>
          <w:szCs w:val="24"/>
        </w:rPr>
        <w:t xml:space="preserve"> </w:t>
      </w:r>
      <w:r w:rsidR="00E61EF9">
        <w:rPr>
          <w:rFonts w:ascii="Times New Roman" w:hAnsi="Times New Roman" w:cs="Times New Roman"/>
          <w:sz w:val="24"/>
          <w:szCs w:val="24"/>
        </w:rPr>
        <w:t xml:space="preserve">the </w:t>
      </w:r>
      <w:r w:rsidR="00C64DFB">
        <w:rPr>
          <w:rFonts w:ascii="Times New Roman" w:hAnsi="Times New Roman" w:cs="Times New Roman"/>
          <w:sz w:val="24"/>
          <w:szCs w:val="24"/>
        </w:rPr>
        <w:t>process to</w:t>
      </w:r>
      <w:r w:rsidR="007473F3">
        <w:rPr>
          <w:rFonts w:ascii="Times New Roman" w:hAnsi="Times New Roman" w:cs="Times New Roman"/>
          <w:sz w:val="24"/>
          <w:szCs w:val="24"/>
        </w:rPr>
        <w:t xml:space="preserve"> be </w:t>
      </w:r>
      <w:r w:rsidR="00C64DFB">
        <w:rPr>
          <w:rFonts w:ascii="Times New Roman" w:hAnsi="Times New Roman" w:cs="Times New Roman"/>
          <w:sz w:val="24"/>
          <w:szCs w:val="24"/>
        </w:rPr>
        <w:t>followed when</w:t>
      </w:r>
      <w:r w:rsidR="00E61EF9">
        <w:rPr>
          <w:rFonts w:ascii="Times New Roman" w:hAnsi="Times New Roman" w:cs="Times New Roman"/>
          <w:sz w:val="24"/>
          <w:szCs w:val="24"/>
        </w:rPr>
        <w:t xml:space="preserve"> </w:t>
      </w:r>
      <w:r w:rsidR="00137634">
        <w:rPr>
          <w:rFonts w:ascii="Times New Roman" w:hAnsi="Times New Roman" w:cs="Times New Roman"/>
          <w:sz w:val="24"/>
          <w:szCs w:val="24"/>
        </w:rPr>
        <w:t xml:space="preserve">a port generates </w:t>
      </w:r>
      <w:r w:rsidR="00E61EF9">
        <w:rPr>
          <w:rFonts w:ascii="Times New Roman" w:hAnsi="Times New Roman" w:cs="Times New Roman"/>
          <w:sz w:val="24"/>
          <w:szCs w:val="24"/>
        </w:rPr>
        <w:t>a new lease or renew</w:t>
      </w:r>
      <w:r w:rsidR="00137634">
        <w:rPr>
          <w:rFonts w:ascii="Times New Roman" w:hAnsi="Times New Roman" w:cs="Times New Roman"/>
          <w:sz w:val="24"/>
          <w:szCs w:val="24"/>
        </w:rPr>
        <w:t>s or extends</w:t>
      </w:r>
      <w:r w:rsidR="00E61EF9">
        <w:rPr>
          <w:rFonts w:ascii="Times New Roman" w:hAnsi="Times New Roman" w:cs="Times New Roman"/>
          <w:sz w:val="24"/>
          <w:szCs w:val="24"/>
        </w:rPr>
        <w:t xml:space="preserve"> a </w:t>
      </w:r>
      <w:r w:rsidR="00C64DFB">
        <w:rPr>
          <w:rFonts w:ascii="Times New Roman" w:hAnsi="Times New Roman" w:cs="Times New Roman"/>
          <w:sz w:val="24"/>
          <w:szCs w:val="24"/>
        </w:rPr>
        <w:t>lease.</w:t>
      </w:r>
      <w:r w:rsidR="00E61EF9">
        <w:rPr>
          <w:rFonts w:ascii="Times New Roman" w:hAnsi="Times New Roman" w:cs="Times New Roman"/>
          <w:sz w:val="24"/>
          <w:szCs w:val="24"/>
        </w:rPr>
        <w:t xml:space="preserve"> </w:t>
      </w:r>
      <w:r w:rsidR="004218A5">
        <w:rPr>
          <w:rFonts w:ascii="Times New Roman" w:hAnsi="Times New Roman" w:cs="Times New Roman"/>
          <w:sz w:val="24"/>
          <w:szCs w:val="24"/>
        </w:rPr>
        <w:t>L</w:t>
      </w:r>
      <w:r w:rsidR="00E61EF9">
        <w:rPr>
          <w:rFonts w:ascii="Times New Roman" w:hAnsi="Times New Roman" w:cs="Times New Roman"/>
          <w:sz w:val="24"/>
          <w:szCs w:val="24"/>
        </w:rPr>
        <w:t>eas</w:t>
      </w:r>
      <w:r w:rsidR="004218A5">
        <w:rPr>
          <w:rFonts w:ascii="Times New Roman" w:hAnsi="Times New Roman" w:cs="Times New Roman"/>
          <w:sz w:val="24"/>
          <w:szCs w:val="24"/>
        </w:rPr>
        <w:t>e</w:t>
      </w:r>
      <w:r w:rsidR="00E61EF9">
        <w:rPr>
          <w:rFonts w:ascii="Times New Roman" w:hAnsi="Times New Roman" w:cs="Times New Roman"/>
          <w:sz w:val="24"/>
          <w:szCs w:val="24"/>
        </w:rPr>
        <w:t xml:space="preserve"> terms </w:t>
      </w:r>
      <w:r w:rsidR="00616E31">
        <w:rPr>
          <w:rFonts w:ascii="Times New Roman" w:hAnsi="Times New Roman" w:cs="Times New Roman"/>
          <w:sz w:val="24"/>
          <w:szCs w:val="24"/>
        </w:rPr>
        <w:t>are</w:t>
      </w:r>
      <w:r w:rsidR="00137634">
        <w:rPr>
          <w:rFonts w:ascii="Times New Roman" w:hAnsi="Times New Roman" w:cs="Times New Roman"/>
          <w:sz w:val="24"/>
          <w:szCs w:val="24"/>
        </w:rPr>
        <w:t xml:space="preserve"> </w:t>
      </w:r>
      <w:r w:rsidR="007473F3">
        <w:rPr>
          <w:rFonts w:ascii="Times New Roman" w:hAnsi="Times New Roman" w:cs="Times New Roman"/>
          <w:sz w:val="24"/>
          <w:szCs w:val="24"/>
        </w:rPr>
        <w:t xml:space="preserve">the business and legal </w:t>
      </w:r>
      <w:r w:rsidR="004218A5">
        <w:rPr>
          <w:rFonts w:ascii="Times New Roman" w:hAnsi="Times New Roman" w:cs="Times New Roman"/>
          <w:sz w:val="24"/>
          <w:szCs w:val="24"/>
        </w:rPr>
        <w:t xml:space="preserve">provisions contained in the lease. </w:t>
      </w:r>
      <w:r w:rsidR="00137634">
        <w:rPr>
          <w:rFonts w:ascii="Times New Roman" w:hAnsi="Times New Roman" w:cs="Times New Roman"/>
          <w:sz w:val="24"/>
          <w:szCs w:val="24"/>
        </w:rPr>
        <w:t xml:space="preserve">Procedures </w:t>
      </w:r>
      <w:r w:rsidR="009A57D9">
        <w:rPr>
          <w:rFonts w:ascii="Times New Roman" w:hAnsi="Times New Roman" w:cs="Times New Roman"/>
          <w:sz w:val="24"/>
          <w:szCs w:val="24"/>
        </w:rPr>
        <w:t xml:space="preserve">can influence lease terms; both procedures and terms will </w:t>
      </w:r>
      <w:r w:rsidR="006C5F92" w:rsidRPr="00527F2A">
        <w:rPr>
          <w:rFonts w:ascii="Times New Roman" w:hAnsi="Times New Roman" w:cs="Times New Roman"/>
          <w:sz w:val="24"/>
          <w:szCs w:val="24"/>
        </w:rPr>
        <w:t>vary gr</w:t>
      </w:r>
      <w:r w:rsidR="00BF62DD" w:rsidRPr="00527F2A">
        <w:rPr>
          <w:rFonts w:ascii="Times New Roman" w:hAnsi="Times New Roman" w:cs="Times New Roman"/>
          <w:sz w:val="24"/>
          <w:szCs w:val="24"/>
        </w:rPr>
        <w:t>eat</w:t>
      </w:r>
      <w:r w:rsidR="006C5F92" w:rsidRPr="00527F2A">
        <w:rPr>
          <w:rFonts w:ascii="Times New Roman" w:hAnsi="Times New Roman" w:cs="Times New Roman"/>
          <w:sz w:val="24"/>
          <w:szCs w:val="24"/>
        </w:rPr>
        <w:t>ly from port to port</w:t>
      </w:r>
      <w:r w:rsidR="00216EE4">
        <w:rPr>
          <w:rFonts w:ascii="Times New Roman" w:hAnsi="Times New Roman" w:cs="Times New Roman"/>
          <w:sz w:val="24"/>
          <w:szCs w:val="24"/>
        </w:rPr>
        <w:t>.</w:t>
      </w:r>
      <w:r w:rsidR="009A57D9">
        <w:rPr>
          <w:rFonts w:ascii="Times New Roman" w:hAnsi="Times New Roman" w:cs="Times New Roman"/>
          <w:sz w:val="24"/>
          <w:szCs w:val="24"/>
        </w:rPr>
        <w:t xml:space="preserve"> </w:t>
      </w:r>
      <w:r w:rsidR="006C5F92" w:rsidRPr="00527F2A">
        <w:rPr>
          <w:rFonts w:ascii="Times New Roman" w:hAnsi="Times New Roman" w:cs="Times New Roman"/>
          <w:sz w:val="24"/>
          <w:szCs w:val="24"/>
        </w:rPr>
        <w:t>Factor</w:t>
      </w:r>
      <w:r w:rsidR="004218A5">
        <w:rPr>
          <w:rFonts w:ascii="Times New Roman" w:hAnsi="Times New Roman" w:cs="Times New Roman"/>
          <w:sz w:val="24"/>
          <w:szCs w:val="24"/>
        </w:rPr>
        <w:t>s</w:t>
      </w:r>
      <w:r w:rsidR="00B26E7B" w:rsidRPr="00527F2A">
        <w:rPr>
          <w:rFonts w:ascii="Times New Roman" w:hAnsi="Times New Roman" w:cs="Times New Roman"/>
          <w:sz w:val="24"/>
          <w:szCs w:val="24"/>
        </w:rPr>
        <w:t xml:space="preserve"> such as </w:t>
      </w:r>
      <w:r w:rsidR="00216EE4">
        <w:rPr>
          <w:rFonts w:ascii="Times New Roman" w:hAnsi="Times New Roman" w:cs="Times New Roman"/>
          <w:sz w:val="24"/>
          <w:szCs w:val="24"/>
        </w:rPr>
        <w:t xml:space="preserve">competing market properties and environment, </w:t>
      </w:r>
      <w:r w:rsidR="00B26E7B" w:rsidRPr="00527F2A">
        <w:rPr>
          <w:rFonts w:ascii="Times New Roman" w:hAnsi="Times New Roman" w:cs="Times New Roman"/>
          <w:sz w:val="24"/>
          <w:szCs w:val="24"/>
        </w:rPr>
        <w:t>location</w:t>
      </w:r>
      <w:r w:rsidR="004218A5">
        <w:rPr>
          <w:rFonts w:ascii="Times New Roman" w:hAnsi="Times New Roman" w:cs="Times New Roman"/>
          <w:sz w:val="24"/>
          <w:szCs w:val="24"/>
        </w:rPr>
        <w:t xml:space="preserve"> of the premises</w:t>
      </w:r>
      <w:r w:rsidR="00B26E7B" w:rsidRPr="00527F2A">
        <w:rPr>
          <w:rFonts w:ascii="Times New Roman" w:hAnsi="Times New Roman" w:cs="Times New Roman"/>
          <w:sz w:val="24"/>
          <w:szCs w:val="24"/>
        </w:rPr>
        <w:t>, type</w:t>
      </w:r>
      <w:r w:rsidR="004218A5">
        <w:rPr>
          <w:rFonts w:ascii="Times New Roman" w:hAnsi="Times New Roman" w:cs="Times New Roman"/>
          <w:sz w:val="24"/>
          <w:szCs w:val="24"/>
        </w:rPr>
        <w:t xml:space="preserve"> of use</w:t>
      </w:r>
      <w:r w:rsidR="00B26E7B" w:rsidRPr="00527F2A">
        <w:rPr>
          <w:rFonts w:ascii="Times New Roman" w:hAnsi="Times New Roman" w:cs="Times New Roman"/>
          <w:sz w:val="24"/>
          <w:szCs w:val="24"/>
        </w:rPr>
        <w:t xml:space="preserve"> (</w:t>
      </w:r>
      <w:r w:rsidR="004218A5">
        <w:rPr>
          <w:rFonts w:ascii="Times New Roman" w:hAnsi="Times New Roman" w:cs="Times New Roman"/>
          <w:sz w:val="24"/>
          <w:szCs w:val="24"/>
        </w:rPr>
        <w:t xml:space="preserve">industrial, </w:t>
      </w:r>
      <w:r w:rsidR="00B26E7B" w:rsidRPr="00527F2A">
        <w:rPr>
          <w:rFonts w:ascii="Times New Roman" w:hAnsi="Times New Roman" w:cs="Times New Roman"/>
          <w:sz w:val="24"/>
          <w:szCs w:val="24"/>
        </w:rPr>
        <w:t>commercial</w:t>
      </w:r>
      <w:r w:rsidR="00BF62DD" w:rsidRPr="00527F2A">
        <w:rPr>
          <w:rFonts w:ascii="Times New Roman" w:hAnsi="Times New Roman" w:cs="Times New Roman"/>
          <w:sz w:val="24"/>
          <w:szCs w:val="24"/>
        </w:rPr>
        <w:t xml:space="preserve"> or maritime)</w:t>
      </w:r>
      <w:r w:rsidR="004218A5">
        <w:rPr>
          <w:rFonts w:ascii="Times New Roman" w:hAnsi="Times New Roman" w:cs="Times New Roman"/>
          <w:sz w:val="24"/>
          <w:szCs w:val="24"/>
        </w:rPr>
        <w:t>,</w:t>
      </w:r>
      <w:r w:rsidR="00216EE4">
        <w:rPr>
          <w:rFonts w:ascii="Times New Roman" w:hAnsi="Times New Roman" w:cs="Times New Roman"/>
          <w:sz w:val="24"/>
          <w:szCs w:val="24"/>
        </w:rPr>
        <w:t xml:space="preserve"> </w:t>
      </w:r>
      <w:r w:rsidR="004218A5">
        <w:rPr>
          <w:rFonts w:ascii="Times New Roman" w:hAnsi="Times New Roman" w:cs="Times New Roman"/>
          <w:sz w:val="24"/>
          <w:szCs w:val="24"/>
        </w:rPr>
        <w:t xml:space="preserve">tenant or offsite improvements, business volumes and </w:t>
      </w:r>
      <w:r w:rsidR="00BF62DD" w:rsidRPr="00527F2A">
        <w:rPr>
          <w:rFonts w:ascii="Times New Roman" w:hAnsi="Times New Roman" w:cs="Times New Roman"/>
          <w:sz w:val="24"/>
          <w:szCs w:val="24"/>
        </w:rPr>
        <w:t>length of the lease</w:t>
      </w:r>
      <w:r w:rsidR="00B80C6F">
        <w:rPr>
          <w:rFonts w:ascii="Times New Roman" w:hAnsi="Times New Roman" w:cs="Times New Roman"/>
          <w:sz w:val="24"/>
          <w:szCs w:val="24"/>
        </w:rPr>
        <w:t xml:space="preserve"> </w:t>
      </w:r>
      <w:r w:rsidR="00216EE4">
        <w:rPr>
          <w:rFonts w:ascii="Times New Roman" w:hAnsi="Times New Roman" w:cs="Times New Roman"/>
          <w:sz w:val="24"/>
          <w:szCs w:val="24"/>
        </w:rPr>
        <w:t>will all have an effect on</w:t>
      </w:r>
      <w:r w:rsidR="00BF62DD" w:rsidRPr="00527F2A">
        <w:rPr>
          <w:rFonts w:ascii="Times New Roman" w:hAnsi="Times New Roman" w:cs="Times New Roman"/>
          <w:sz w:val="24"/>
          <w:szCs w:val="24"/>
        </w:rPr>
        <w:t xml:space="preserve"> lease</w:t>
      </w:r>
      <w:r w:rsidR="006B4FF9">
        <w:rPr>
          <w:rFonts w:ascii="Times New Roman" w:hAnsi="Times New Roman" w:cs="Times New Roman"/>
          <w:sz w:val="24"/>
          <w:szCs w:val="24"/>
        </w:rPr>
        <w:t xml:space="preserve"> terms</w:t>
      </w:r>
      <w:r w:rsidR="00BF62DD" w:rsidRPr="00527F2A">
        <w:rPr>
          <w:rFonts w:ascii="Times New Roman" w:hAnsi="Times New Roman" w:cs="Times New Roman"/>
          <w:sz w:val="24"/>
          <w:szCs w:val="24"/>
        </w:rPr>
        <w:t>.</w:t>
      </w:r>
      <w:r w:rsidR="00554CD2">
        <w:rPr>
          <w:rFonts w:ascii="Times New Roman" w:hAnsi="Times New Roman" w:cs="Times New Roman"/>
          <w:sz w:val="24"/>
          <w:szCs w:val="24"/>
        </w:rPr>
        <w:t xml:space="preserve"> </w:t>
      </w:r>
      <w:r w:rsidR="00527F2A" w:rsidRPr="00527F2A">
        <w:rPr>
          <w:rFonts w:ascii="Times New Roman" w:hAnsi="Times New Roman" w:cs="Times New Roman"/>
          <w:sz w:val="24"/>
          <w:szCs w:val="24"/>
        </w:rPr>
        <w:t xml:space="preserve"> </w:t>
      </w:r>
    </w:p>
    <w:p w:rsidR="005A5F54" w:rsidRPr="002330A2" w:rsidRDefault="00216EE4" w:rsidP="002330A2">
      <w:pPr>
        <w:ind w:left="360"/>
        <w:rPr>
          <w:rFonts w:ascii="Times New Roman" w:hAnsi="Times New Roman" w:cs="Times New Roman"/>
          <w:sz w:val="24"/>
          <w:szCs w:val="24"/>
        </w:rPr>
      </w:pPr>
      <w:r>
        <w:rPr>
          <w:rFonts w:ascii="Times New Roman" w:hAnsi="Times New Roman" w:cs="Times New Roman"/>
          <w:sz w:val="24"/>
          <w:szCs w:val="24"/>
        </w:rPr>
        <w:t>For those ports we surveyed, we found that l</w:t>
      </w:r>
      <w:r w:rsidR="00C9023B">
        <w:rPr>
          <w:rFonts w:ascii="Times New Roman" w:hAnsi="Times New Roman" w:cs="Times New Roman"/>
          <w:sz w:val="24"/>
          <w:szCs w:val="24"/>
        </w:rPr>
        <w:t>ease</w:t>
      </w:r>
      <w:r w:rsidR="00616E31">
        <w:rPr>
          <w:rFonts w:ascii="Times New Roman" w:hAnsi="Times New Roman" w:cs="Times New Roman"/>
          <w:sz w:val="24"/>
          <w:szCs w:val="24"/>
        </w:rPr>
        <w:t xml:space="preserve"> rate</w:t>
      </w:r>
      <w:r w:rsidR="00C9023B">
        <w:rPr>
          <w:rFonts w:ascii="Times New Roman" w:hAnsi="Times New Roman" w:cs="Times New Roman"/>
          <w:sz w:val="24"/>
          <w:szCs w:val="24"/>
        </w:rPr>
        <w:t>s</w:t>
      </w:r>
      <w:r>
        <w:rPr>
          <w:rFonts w:ascii="Times New Roman" w:hAnsi="Times New Roman" w:cs="Times New Roman"/>
          <w:sz w:val="24"/>
          <w:szCs w:val="24"/>
        </w:rPr>
        <w:t xml:space="preserve"> are</w:t>
      </w:r>
      <w:r w:rsidR="00C9023B">
        <w:rPr>
          <w:rFonts w:ascii="Times New Roman" w:hAnsi="Times New Roman" w:cs="Times New Roman"/>
          <w:sz w:val="24"/>
          <w:szCs w:val="24"/>
        </w:rPr>
        <w:t xml:space="preserve"> </w:t>
      </w:r>
      <w:r w:rsidR="00C25223">
        <w:rPr>
          <w:rFonts w:ascii="Times New Roman" w:hAnsi="Times New Roman" w:cs="Times New Roman"/>
          <w:sz w:val="24"/>
          <w:szCs w:val="24"/>
        </w:rPr>
        <w:t xml:space="preserve">typically </w:t>
      </w:r>
      <w:r w:rsidR="00075E67" w:rsidRPr="00527F2A">
        <w:rPr>
          <w:rFonts w:ascii="Times New Roman" w:hAnsi="Times New Roman" w:cs="Times New Roman"/>
          <w:sz w:val="24"/>
          <w:szCs w:val="24"/>
        </w:rPr>
        <w:t xml:space="preserve">determined by appraisal </w:t>
      </w:r>
      <w:r>
        <w:rPr>
          <w:rFonts w:ascii="Times New Roman" w:hAnsi="Times New Roman" w:cs="Times New Roman"/>
          <w:sz w:val="24"/>
          <w:szCs w:val="24"/>
        </w:rPr>
        <w:t>with an annual</w:t>
      </w:r>
      <w:r w:rsidR="00075E67" w:rsidRPr="00527F2A">
        <w:rPr>
          <w:rFonts w:ascii="Times New Roman" w:hAnsi="Times New Roman" w:cs="Times New Roman"/>
          <w:sz w:val="24"/>
          <w:szCs w:val="24"/>
        </w:rPr>
        <w:t xml:space="preserve"> adjusted</w:t>
      </w:r>
      <w:r w:rsidR="004C1667">
        <w:rPr>
          <w:rFonts w:ascii="Times New Roman" w:hAnsi="Times New Roman" w:cs="Times New Roman"/>
          <w:sz w:val="24"/>
          <w:szCs w:val="24"/>
        </w:rPr>
        <w:t xml:space="preserve"> </w:t>
      </w:r>
      <w:r>
        <w:rPr>
          <w:rFonts w:ascii="Times New Roman" w:hAnsi="Times New Roman" w:cs="Times New Roman"/>
          <w:sz w:val="24"/>
          <w:szCs w:val="24"/>
        </w:rPr>
        <w:t xml:space="preserve">of </w:t>
      </w:r>
      <w:r w:rsidR="004C1667">
        <w:rPr>
          <w:rFonts w:ascii="Times New Roman" w:hAnsi="Times New Roman" w:cs="Times New Roman"/>
          <w:sz w:val="24"/>
          <w:szCs w:val="24"/>
        </w:rPr>
        <w:t>approximately</w:t>
      </w:r>
      <w:r w:rsidR="00C25223">
        <w:rPr>
          <w:rFonts w:ascii="Times New Roman" w:hAnsi="Times New Roman" w:cs="Times New Roman"/>
          <w:sz w:val="24"/>
          <w:szCs w:val="24"/>
        </w:rPr>
        <w:t xml:space="preserve"> </w:t>
      </w:r>
      <w:r w:rsidR="00075E67" w:rsidRPr="00527F2A">
        <w:rPr>
          <w:rFonts w:ascii="Times New Roman" w:hAnsi="Times New Roman" w:cs="Times New Roman"/>
          <w:sz w:val="24"/>
          <w:szCs w:val="24"/>
        </w:rPr>
        <w:t>2-4%</w:t>
      </w:r>
      <w:r>
        <w:rPr>
          <w:rFonts w:ascii="Times New Roman" w:hAnsi="Times New Roman" w:cs="Times New Roman"/>
          <w:sz w:val="24"/>
          <w:szCs w:val="24"/>
        </w:rPr>
        <w:t>, most</w:t>
      </w:r>
      <w:r w:rsidR="00075E67" w:rsidRPr="00527F2A">
        <w:rPr>
          <w:rFonts w:ascii="Times New Roman" w:hAnsi="Times New Roman" w:cs="Times New Roman"/>
          <w:sz w:val="24"/>
          <w:szCs w:val="24"/>
        </w:rPr>
        <w:t xml:space="preserve"> </w:t>
      </w:r>
      <w:r w:rsidR="00616E31">
        <w:rPr>
          <w:rFonts w:ascii="Times New Roman" w:hAnsi="Times New Roman" w:cs="Times New Roman"/>
          <w:sz w:val="24"/>
          <w:szCs w:val="24"/>
        </w:rPr>
        <w:t xml:space="preserve">often pegged to </w:t>
      </w:r>
      <w:r>
        <w:rPr>
          <w:rFonts w:ascii="Times New Roman" w:hAnsi="Times New Roman" w:cs="Times New Roman"/>
          <w:sz w:val="24"/>
          <w:szCs w:val="24"/>
        </w:rPr>
        <w:t>a particular</w:t>
      </w:r>
      <w:r w:rsidRPr="00527F2A">
        <w:rPr>
          <w:rFonts w:ascii="Times New Roman" w:hAnsi="Times New Roman" w:cs="Times New Roman"/>
          <w:sz w:val="24"/>
          <w:szCs w:val="24"/>
        </w:rPr>
        <w:t xml:space="preserve"> </w:t>
      </w:r>
      <w:r w:rsidR="00075E67" w:rsidRPr="00527F2A">
        <w:rPr>
          <w:rFonts w:ascii="Times New Roman" w:hAnsi="Times New Roman" w:cs="Times New Roman"/>
          <w:sz w:val="24"/>
          <w:szCs w:val="24"/>
        </w:rPr>
        <w:t>C</w:t>
      </w:r>
      <w:r w:rsidR="006A3B1C">
        <w:rPr>
          <w:rFonts w:ascii="Times New Roman" w:hAnsi="Times New Roman" w:cs="Times New Roman"/>
          <w:sz w:val="24"/>
          <w:szCs w:val="24"/>
        </w:rPr>
        <w:t xml:space="preserve">onsumer </w:t>
      </w:r>
      <w:r w:rsidR="00075E67" w:rsidRPr="00527F2A">
        <w:rPr>
          <w:rFonts w:ascii="Times New Roman" w:hAnsi="Times New Roman" w:cs="Times New Roman"/>
          <w:sz w:val="24"/>
          <w:szCs w:val="24"/>
        </w:rPr>
        <w:t>P</w:t>
      </w:r>
      <w:r w:rsidR="006A3B1C">
        <w:rPr>
          <w:rFonts w:ascii="Times New Roman" w:hAnsi="Times New Roman" w:cs="Times New Roman"/>
          <w:sz w:val="24"/>
          <w:szCs w:val="24"/>
        </w:rPr>
        <w:t xml:space="preserve">rice </w:t>
      </w:r>
      <w:r w:rsidR="007D014E" w:rsidRPr="00527F2A">
        <w:rPr>
          <w:rFonts w:ascii="Times New Roman" w:hAnsi="Times New Roman" w:cs="Times New Roman"/>
          <w:sz w:val="24"/>
          <w:szCs w:val="24"/>
        </w:rPr>
        <w:t>I</w:t>
      </w:r>
      <w:r w:rsidR="007D014E">
        <w:rPr>
          <w:rFonts w:ascii="Times New Roman" w:hAnsi="Times New Roman" w:cs="Times New Roman"/>
          <w:sz w:val="24"/>
          <w:szCs w:val="24"/>
        </w:rPr>
        <w:t>ndex (</w:t>
      </w:r>
      <w:r w:rsidR="006A3B1C">
        <w:rPr>
          <w:rFonts w:ascii="Times New Roman" w:hAnsi="Times New Roman" w:cs="Times New Roman"/>
          <w:sz w:val="24"/>
          <w:szCs w:val="24"/>
        </w:rPr>
        <w:t>CPI)</w:t>
      </w:r>
      <w:r w:rsidR="00075E67" w:rsidRPr="00527F2A">
        <w:rPr>
          <w:rFonts w:ascii="Times New Roman" w:hAnsi="Times New Roman" w:cs="Times New Roman"/>
          <w:sz w:val="24"/>
          <w:szCs w:val="24"/>
        </w:rPr>
        <w:t xml:space="preserve">.  </w:t>
      </w:r>
      <w:r w:rsidR="00EF2E7B" w:rsidRPr="00527F2A">
        <w:rPr>
          <w:rFonts w:ascii="Times New Roman" w:hAnsi="Times New Roman" w:cs="Times New Roman"/>
          <w:sz w:val="24"/>
          <w:szCs w:val="24"/>
        </w:rPr>
        <w:t>Most ports surveyed review the</w:t>
      </w:r>
      <w:r>
        <w:rPr>
          <w:rFonts w:ascii="Times New Roman" w:hAnsi="Times New Roman" w:cs="Times New Roman"/>
          <w:sz w:val="24"/>
          <w:szCs w:val="24"/>
        </w:rPr>
        <w:t>ir</w:t>
      </w:r>
      <w:r w:rsidR="00EF2E7B" w:rsidRPr="00527F2A">
        <w:rPr>
          <w:rFonts w:ascii="Times New Roman" w:hAnsi="Times New Roman" w:cs="Times New Roman"/>
          <w:sz w:val="24"/>
          <w:szCs w:val="24"/>
        </w:rPr>
        <w:t xml:space="preserve"> CPI </w:t>
      </w:r>
      <w:r w:rsidR="00C25223">
        <w:rPr>
          <w:rFonts w:ascii="Times New Roman" w:hAnsi="Times New Roman" w:cs="Times New Roman"/>
          <w:sz w:val="24"/>
          <w:szCs w:val="24"/>
        </w:rPr>
        <w:t xml:space="preserve">annually </w:t>
      </w:r>
      <w:r w:rsidR="00EF2E7B" w:rsidRPr="00527F2A">
        <w:rPr>
          <w:rFonts w:ascii="Times New Roman" w:hAnsi="Times New Roman" w:cs="Times New Roman"/>
          <w:sz w:val="24"/>
          <w:szCs w:val="24"/>
        </w:rPr>
        <w:t xml:space="preserve">and adjust their tenants rent accordingly. </w:t>
      </w:r>
      <w:r w:rsidR="00616E31">
        <w:rPr>
          <w:rFonts w:ascii="Times New Roman" w:hAnsi="Times New Roman" w:cs="Times New Roman"/>
          <w:sz w:val="24"/>
          <w:szCs w:val="24"/>
        </w:rPr>
        <w:t xml:space="preserve"> </w:t>
      </w:r>
      <w:r w:rsidR="007D014E">
        <w:rPr>
          <w:rFonts w:ascii="Times New Roman" w:hAnsi="Times New Roman" w:cs="Times New Roman"/>
          <w:sz w:val="24"/>
          <w:szCs w:val="24"/>
        </w:rPr>
        <w:t>Typically,</w:t>
      </w:r>
      <w:r w:rsidR="00616E31">
        <w:rPr>
          <w:rFonts w:ascii="Times New Roman" w:hAnsi="Times New Roman" w:cs="Times New Roman"/>
          <w:sz w:val="24"/>
          <w:szCs w:val="24"/>
        </w:rPr>
        <w:t xml:space="preserve"> port lease </w:t>
      </w:r>
      <w:r w:rsidR="00C25223">
        <w:rPr>
          <w:rFonts w:ascii="Times New Roman" w:hAnsi="Times New Roman" w:cs="Times New Roman"/>
          <w:sz w:val="24"/>
          <w:szCs w:val="24"/>
        </w:rPr>
        <w:t>agreements provide</w:t>
      </w:r>
      <w:r w:rsidR="00EF2E7B" w:rsidRPr="00527F2A">
        <w:rPr>
          <w:rFonts w:ascii="Times New Roman" w:hAnsi="Times New Roman" w:cs="Times New Roman"/>
          <w:sz w:val="24"/>
          <w:szCs w:val="24"/>
        </w:rPr>
        <w:t xml:space="preserve"> that rent will not be lower than the previous year’s rent</w:t>
      </w:r>
      <w:r>
        <w:rPr>
          <w:rFonts w:ascii="Times New Roman" w:hAnsi="Times New Roman" w:cs="Times New Roman"/>
          <w:sz w:val="24"/>
          <w:szCs w:val="24"/>
        </w:rPr>
        <w:t>, should CPI actually drop</w:t>
      </w:r>
      <w:r w:rsidR="00EF2E7B" w:rsidRPr="00527F2A">
        <w:rPr>
          <w:rFonts w:ascii="Times New Roman" w:hAnsi="Times New Roman" w:cs="Times New Roman"/>
          <w:sz w:val="24"/>
          <w:szCs w:val="24"/>
        </w:rPr>
        <w:t>.</w:t>
      </w:r>
      <w:r w:rsidR="00AA1779">
        <w:rPr>
          <w:rFonts w:ascii="Times New Roman" w:hAnsi="Times New Roman" w:cs="Times New Roman"/>
          <w:sz w:val="24"/>
          <w:szCs w:val="24"/>
        </w:rPr>
        <w:t xml:space="preserve"> Most of the ports surveyed include the month in which the rent increased will be determined and the month that the increase will go into effect</w:t>
      </w:r>
      <w:r>
        <w:rPr>
          <w:rFonts w:ascii="Times New Roman" w:hAnsi="Times New Roman" w:cs="Times New Roman"/>
          <w:sz w:val="24"/>
          <w:szCs w:val="24"/>
        </w:rPr>
        <w:t>. Some additional terms commonly found in our surveyed port’s leases include:</w:t>
      </w:r>
    </w:p>
    <w:p w:rsidR="005A5F54" w:rsidRDefault="005A5F54" w:rsidP="003A339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Annual Escalation based on CPI</w:t>
      </w:r>
    </w:p>
    <w:p w:rsidR="003A339C" w:rsidRDefault="003A339C" w:rsidP="003A339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Security deposits based on the strength of the lease</w:t>
      </w:r>
    </w:p>
    <w:p w:rsidR="003A339C" w:rsidRDefault="003A339C" w:rsidP="003A339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Lease agreements longer than 10 years may have reappraisal </w:t>
      </w:r>
      <w:r w:rsidR="005A5F54">
        <w:rPr>
          <w:rFonts w:ascii="Times New Roman" w:hAnsi="Times New Roman" w:cs="Times New Roman"/>
          <w:sz w:val="24"/>
          <w:szCs w:val="24"/>
        </w:rPr>
        <w:t>provisions</w:t>
      </w:r>
      <w:r>
        <w:rPr>
          <w:rFonts w:ascii="Times New Roman" w:hAnsi="Times New Roman" w:cs="Times New Roman"/>
          <w:sz w:val="24"/>
          <w:szCs w:val="24"/>
        </w:rPr>
        <w:t>.</w:t>
      </w:r>
    </w:p>
    <w:p w:rsidR="003A339C" w:rsidRDefault="00207E5E" w:rsidP="003A339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Adjusting for new equipment and improvements</w:t>
      </w:r>
    </w:p>
    <w:p w:rsidR="003A339C" w:rsidRPr="00730591" w:rsidRDefault="00207E5E" w:rsidP="0073059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Valuation based on ROI</w:t>
      </w:r>
      <w:r w:rsidR="00216EE4">
        <w:rPr>
          <w:rFonts w:ascii="Times New Roman" w:hAnsi="Times New Roman" w:cs="Times New Roman"/>
          <w:sz w:val="24"/>
          <w:szCs w:val="24"/>
        </w:rPr>
        <w:t xml:space="preserve"> and/or NPV of the lease (discounted cash flow analysis)</w:t>
      </w:r>
      <w:r>
        <w:rPr>
          <w:rFonts w:ascii="Times New Roman" w:hAnsi="Times New Roman" w:cs="Times New Roman"/>
          <w:sz w:val="24"/>
          <w:szCs w:val="24"/>
        </w:rPr>
        <w:t xml:space="preserve"> </w:t>
      </w:r>
      <w:r w:rsidR="00AA1779" w:rsidRPr="00730591">
        <w:rPr>
          <w:rFonts w:ascii="Times New Roman" w:hAnsi="Times New Roman" w:cs="Times New Roman"/>
          <w:sz w:val="24"/>
          <w:szCs w:val="24"/>
        </w:rPr>
        <w:t xml:space="preserve"> </w:t>
      </w:r>
    </w:p>
    <w:p w:rsidR="006B1327" w:rsidRDefault="009A57D9" w:rsidP="006B1327">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16EE4">
        <w:rPr>
          <w:rFonts w:ascii="Times New Roman" w:hAnsi="Times New Roman" w:cs="Times New Roman"/>
          <w:sz w:val="24"/>
          <w:szCs w:val="24"/>
        </w:rPr>
        <w:t>In addition to annual rent bumps as a result of pre-negotiated stepped rent increases or due to CPI adjustments (see above), some leases held rents flat</w:t>
      </w:r>
      <w:r w:rsidR="006B1327">
        <w:rPr>
          <w:rFonts w:ascii="Times New Roman" w:hAnsi="Times New Roman" w:cs="Times New Roman"/>
          <w:sz w:val="24"/>
          <w:szCs w:val="24"/>
        </w:rPr>
        <w:t xml:space="preserve"> for the term of the lease using a variety of rate setting methodologies. </w:t>
      </w:r>
      <w:r w:rsidR="006B1327" w:rsidRPr="00527F2A">
        <w:rPr>
          <w:rFonts w:ascii="Times New Roman" w:hAnsi="Times New Roman" w:cs="Times New Roman"/>
          <w:sz w:val="24"/>
          <w:szCs w:val="24"/>
        </w:rPr>
        <w:t>One port uses tariff based rental and flat rental components</w:t>
      </w:r>
      <w:r w:rsidR="006B1327">
        <w:rPr>
          <w:rFonts w:ascii="Times New Roman" w:hAnsi="Times New Roman" w:cs="Times New Roman"/>
          <w:sz w:val="24"/>
          <w:szCs w:val="24"/>
        </w:rPr>
        <w:t>. The</w:t>
      </w:r>
      <w:r w:rsidR="006B1327" w:rsidRPr="00527F2A">
        <w:rPr>
          <w:rFonts w:ascii="Times New Roman" w:hAnsi="Times New Roman" w:cs="Times New Roman"/>
          <w:sz w:val="24"/>
          <w:szCs w:val="24"/>
        </w:rPr>
        <w:t xml:space="preserve"> tariffs are updated on a regular basis depending on research of other ports tariffs. The flat rental components are outlined in their leasing policy.</w:t>
      </w:r>
      <w:r w:rsidR="006B1327">
        <w:rPr>
          <w:rFonts w:ascii="Times New Roman" w:hAnsi="Times New Roman" w:cs="Times New Roman"/>
          <w:sz w:val="24"/>
          <w:szCs w:val="24"/>
        </w:rPr>
        <w:t xml:space="preserve"> Other examples of rate setting methodologies include:</w:t>
      </w:r>
    </w:p>
    <w:p w:rsidR="006B1327" w:rsidRDefault="003E67B6" w:rsidP="004C1667">
      <w:pPr>
        <w:pStyle w:val="ListParagraph"/>
        <w:numPr>
          <w:ilvl w:val="0"/>
          <w:numId w:val="5"/>
        </w:numPr>
        <w:rPr>
          <w:rFonts w:ascii="Times New Roman" w:hAnsi="Times New Roman" w:cs="Times New Roman"/>
          <w:sz w:val="24"/>
          <w:szCs w:val="24"/>
        </w:rPr>
      </w:pPr>
      <w:r w:rsidRPr="004C1667">
        <w:rPr>
          <w:rFonts w:ascii="Times New Roman" w:hAnsi="Times New Roman" w:cs="Times New Roman"/>
          <w:sz w:val="24"/>
          <w:szCs w:val="24"/>
        </w:rPr>
        <w:t xml:space="preserve">The rate can be determined by the amount of land used by the tenant </w:t>
      </w:r>
    </w:p>
    <w:p w:rsidR="006B1327" w:rsidRDefault="006B1327" w:rsidP="004C166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w:t>
      </w:r>
      <w:r w:rsidR="003E67B6" w:rsidRPr="004C1667">
        <w:rPr>
          <w:rFonts w:ascii="Times New Roman" w:hAnsi="Times New Roman" w:cs="Times New Roman"/>
          <w:sz w:val="24"/>
          <w:szCs w:val="24"/>
        </w:rPr>
        <w:t>n agreed upon price per unit of throughput produced by the custome</w:t>
      </w:r>
      <w:r w:rsidR="00B80C6F" w:rsidRPr="004C1667">
        <w:rPr>
          <w:rFonts w:ascii="Times New Roman" w:hAnsi="Times New Roman" w:cs="Times New Roman"/>
          <w:sz w:val="24"/>
          <w:szCs w:val="24"/>
        </w:rPr>
        <w:t>r</w:t>
      </w:r>
    </w:p>
    <w:p w:rsidR="00137634" w:rsidRPr="004C1667" w:rsidRDefault="006B1327" w:rsidP="004C166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w:t>
      </w:r>
      <w:r w:rsidR="003E67B6" w:rsidRPr="004C1667">
        <w:rPr>
          <w:rFonts w:ascii="Times New Roman" w:hAnsi="Times New Roman" w:cs="Times New Roman"/>
          <w:sz w:val="24"/>
          <w:szCs w:val="24"/>
        </w:rPr>
        <w:t xml:space="preserve"> negotiate</w:t>
      </w:r>
      <w:r>
        <w:rPr>
          <w:rFonts w:ascii="Times New Roman" w:hAnsi="Times New Roman" w:cs="Times New Roman"/>
          <w:sz w:val="24"/>
          <w:szCs w:val="24"/>
        </w:rPr>
        <w:t xml:space="preserve">d </w:t>
      </w:r>
      <w:r w:rsidR="003E67B6" w:rsidRPr="004C1667">
        <w:rPr>
          <w:rFonts w:ascii="Times New Roman" w:hAnsi="Times New Roman" w:cs="Times New Roman"/>
          <w:sz w:val="24"/>
          <w:szCs w:val="24"/>
        </w:rPr>
        <w:t>monthly rental payment that is not based on acreage or throughput</w:t>
      </w:r>
      <w:r>
        <w:rPr>
          <w:rFonts w:ascii="Times New Roman" w:hAnsi="Times New Roman" w:cs="Times New Roman"/>
          <w:sz w:val="24"/>
          <w:szCs w:val="24"/>
        </w:rPr>
        <w:t>, but on some other unique metric.</w:t>
      </w:r>
    </w:p>
    <w:p w:rsidR="003205AC" w:rsidRDefault="006B1327" w:rsidP="003205AC">
      <w:pPr>
        <w:ind w:left="360"/>
        <w:rPr>
          <w:rFonts w:ascii="Times New Roman" w:hAnsi="Times New Roman" w:cs="Times New Roman"/>
          <w:sz w:val="24"/>
          <w:szCs w:val="24"/>
        </w:rPr>
      </w:pPr>
      <w:r>
        <w:rPr>
          <w:rFonts w:ascii="Times New Roman" w:hAnsi="Times New Roman" w:cs="Times New Roman"/>
          <w:sz w:val="24"/>
          <w:szCs w:val="24"/>
        </w:rPr>
        <w:t xml:space="preserve">A basic tenant of real estate is that land is treated separately from improvements upon that land. </w:t>
      </w:r>
      <w:r w:rsidR="003205AC" w:rsidRPr="00FF699A">
        <w:rPr>
          <w:rFonts w:ascii="Times New Roman" w:hAnsi="Times New Roman" w:cs="Times New Roman"/>
          <w:sz w:val="24"/>
          <w:szCs w:val="24"/>
        </w:rPr>
        <w:t xml:space="preserve">Typically, land value is </w:t>
      </w:r>
      <w:r>
        <w:rPr>
          <w:rFonts w:ascii="Times New Roman" w:hAnsi="Times New Roman" w:cs="Times New Roman"/>
          <w:sz w:val="24"/>
          <w:szCs w:val="24"/>
        </w:rPr>
        <w:t xml:space="preserve">often </w:t>
      </w:r>
      <w:r w:rsidR="003205AC" w:rsidRPr="00FF699A">
        <w:rPr>
          <w:rFonts w:ascii="Times New Roman" w:hAnsi="Times New Roman" w:cs="Times New Roman"/>
          <w:sz w:val="24"/>
          <w:szCs w:val="24"/>
        </w:rPr>
        <w:t>established through a review of comparable sales of industrial land, land values used by other West Coast ports, market conditions, and other factors such as the age and condition of the property.   When improvements and equipment are new, valuation is determined by a return on investment calculation using the actual cost of construction and a rate of return as defined by the Port's Leasing Guidelines. When improvements are not new, the basis of valuation will be determined by looking at industry accepted replacement costs for similar construction and then applying an appropriate depreciation factor</w:t>
      </w:r>
      <w:r>
        <w:rPr>
          <w:rFonts w:ascii="Times New Roman" w:hAnsi="Times New Roman" w:cs="Times New Roman"/>
          <w:sz w:val="24"/>
          <w:szCs w:val="24"/>
        </w:rPr>
        <w:t xml:space="preserve">. The field of real estate appraisal has undergone significant shifts since 2007, and depending on the size of the lease transaction and associated risk, ports might consider </w:t>
      </w:r>
      <w:r w:rsidR="007669AE">
        <w:rPr>
          <w:rFonts w:ascii="Times New Roman" w:hAnsi="Times New Roman" w:cs="Times New Roman"/>
          <w:sz w:val="24"/>
          <w:szCs w:val="24"/>
        </w:rPr>
        <w:t>hiring</w:t>
      </w:r>
      <w:r>
        <w:rPr>
          <w:rFonts w:ascii="Times New Roman" w:hAnsi="Times New Roman" w:cs="Times New Roman"/>
          <w:sz w:val="24"/>
          <w:szCs w:val="24"/>
        </w:rPr>
        <w:t xml:space="preserve"> an independent appraiser to best evaluate the parcel/lease in question, in order to best maximize the port’s resources and income stream on behalf of its stakeholders.</w:t>
      </w:r>
    </w:p>
    <w:p w:rsidR="003205AC" w:rsidRPr="003205AC" w:rsidRDefault="003205AC" w:rsidP="00767AAA">
      <w:pPr>
        <w:ind w:left="360"/>
        <w:rPr>
          <w:rFonts w:ascii="Times New Roman" w:hAnsi="Times New Roman" w:cs="Times New Roman"/>
          <w:b/>
          <w:sz w:val="24"/>
          <w:szCs w:val="24"/>
        </w:rPr>
      </w:pPr>
      <w:r w:rsidRPr="003205AC">
        <w:rPr>
          <w:rFonts w:ascii="Times New Roman" w:hAnsi="Times New Roman" w:cs="Times New Roman"/>
          <w:b/>
          <w:sz w:val="24"/>
          <w:szCs w:val="24"/>
        </w:rPr>
        <w:t xml:space="preserve">Guidelines </w:t>
      </w:r>
    </w:p>
    <w:p w:rsidR="003205AC" w:rsidRDefault="003205AC" w:rsidP="003205AC">
      <w:pPr>
        <w:ind w:left="360"/>
        <w:rPr>
          <w:rFonts w:ascii="Times New Roman" w:hAnsi="Times New Roman" w:cs="Times New Roman"/>
          <w:sz w:val="24"/>
          <w:szCs w:val="24"/>
        </w:rPr>
      </w:pPr>
      <w:r>
        <w:rPr>
          <w:rFonts w:ascii="Times New Roman" w:hAnsi="Times New Roman" w:cs="Times New Roman"/>
          <w:sz w:val="24"/>
          <w:szCs w:val="24"/>
        </w:rPr>
        <w:t xml:space="preserve">The surveys revealed that </w:t>
      </w:r>
      <w:r w:rsidRPr="00527F2A">
        <w:rPr>
          <w:rFonts w:ascii="Times New Roman" w:hAnsi="Times New Roman" w:cs="Times New Roman"/>
          <w:sz w:val="24"/>
          <w:szCs w:val="24"/>
        </w:rPr>
        <w:t>not all cargo classifications have sufficient margins to pay the same rates. In addition</w:t>
      </w:r>
      <w:r>
        <w:rPr>
          <w:rFonts w:ascii="Times New Roman" w:hAnsi="Times New Roman" w:cs="Times New Roman"/>
          <w:sz w:val="24"/>
          <w:szCs w:val="24"/>
        </w:rPr>
        <w:t xml:space="preserve"> we observed that</w:t>
      </w:r>
      <w:r w:rsidRPr="00527F2A">
        <w:rPr>
          <w:rFonts w:ascii="Times New Roman" w:hAnsi="Times New Roman" w:cs="Times New Roman"/>
          <w:sz w:val="24"/>
          <w:szCs w:val="24"/>
        </w:rPr>
        <w:t xml:space="preserve"> standard lease provisions pertaining to rent, payment structure, and term,</w:t>
      </w:r>
      <w:r>
        <w:rPr>
          <w:rFonts w:ascii="Times New Roman" w:hAnsi="Times New Roman" w:cs="Times New Roman"/>
          <w:sz w:val="24"/>
          <w:szCs w:val="24"/>
        </w:rPr>
        <w:t xml:space="preserve"> so</w:t>
      </w:r>
      <w:r w:rsidRPr="000D4C5E">
        <w:rPr>
          <w:rFonts w:ascii="Times New Roman" w:hAnsi="Times New Roman" w:cs="Times New Roman"/>
          <w:sz w:val="24"/>
          <w:szCs w:val="24"/>
        </w:rPr>
        <w:t>m</w:t>
      </w:r>
      <w:r>
        <w:rPr>
          <w:rFonts w:ascii="Times New Roman" w:hAnsi="Times New Roman" w:cs="Times New Roman"/>
          <w:sz w:val="24"/>
          <w:szCs w:val="24"/>
        </w:rPr>
        <w:t xml:space="preserve">e ports include provisions </w:t>
      </w:r>
      <w:r w:rsidRPr="00527F2A">
        <w:rPr>
          <w:rFonts w:ascii="Times New Roman" w:hAnsi="Times New Roman" w:cs="Times New Roman"/>
          <w:sz w:val="24"/>
          <w:szCs w:val="24"/>
        </w:rPr>
        <w:t>to prevent one tenant within a given classification (</w:t>
      </w:r>
      <w:r>
        <w:rPr>
          <w:rFonts w:ascii="Times New Roman" w:hAnsi="Times New Roman" w:cs="Times New Roman"/>
          <w:sz w:val="24"/>
          <w:szCs w:val="24"/>
        </w:rPr>
        <w:t>eg</w:t>
      </w:r>
      <w:r w:rsidRPr="00527F2A">
        <w:rPr>
          <w:rFonts w:ascii="Times New Roman" w:hAnsi="Times New Roman" w:cs="Times New Roman"/>
          <w:sz w:val="24"/>
          <w:szCs w:val="24"/>
        </w:rPr>
        <w:t>. breakbulk) from having a competitive advantage or disadvantage from the other tenants</w:t>
      </w:r>
      <w:r>
        <w:rPr>
          <w:rFonts w:ascii="Times New Roman" w:hAnsi="Times New Roman" w:cs="Times New Roman"/>
          <w:sz w:val="24"/>
          <w:szCs w:val="24"/>
        </w:rPr>
        <w:t>.</w:t>
      </w:r>
      <w:r w:rsidRPr="00527F2A">
        <w:rPr>
          <w:rFonts w:ascii="Times New Roman" w:hAnsi="Times New Roman" w:cs="Times New Roman"/>
          <w:sz w:val="24"/>
          <w:szCs w:val="24"/>
        </w:rPr>
        <w:t xml:space="preserve"> Other factors, such as Port or tenant investmen</w:t>
      </w:r>
      <w:r>
        <w:rPr>
          <w:rFonts w:ascii="Times New Roman" w:hAnsi="Times New Roman" w:cs="Times New Roman"/>
          <w:sz w:val="24"/>
          <w:szCs w:val="24"/>
        </w:rPr>
        <w:t xml:space="preserve">t, assets being leased, rate of </w:t>
      </w:r>
      <w:r w:rsidRPr="00527F2A">
        <w:rPr>
          <w:rFonts w:ascii="Times New Roman" w:hAnsi="Times New Roman" w:cs="Times New Roman"/>
          <w:sz w:val="24"/>
          <w:szCs w:val="24"/>
        </w:rPr>
        <w:t>return guidelines, or other factors specific to a particula</w:t>
      </w:r>
      <w:r>
        <w:rPr>
          <w:rFonts w:ascii="Times New Roman" w:hAnsi="Times New Roman" w:cs="Times New Roman"/>
          <w:sz w:val="24"/>
          <w:szCs w:val="24"/>
        </w:rPr>
        <w:t xml:space="preserve">r tenant or agreement should be </w:t>
      </w:r>
      <w:r w:rsidRPr="00527F2A">
        <w:rPr>
          <w:rFonts w:ascii="Times New Roman" w:hAnsi="Times New Roman" w:cs="Times New Roman"/>
          <w:sz w:val="24"/>
          <w:szCs w:val="24"/>
        </w:rPr>
        <w:t>considered.</w:t>
      </w:r>
      <w:r>
        <w:rPr>
          <w:rFonts w:ascii="Times New Roman" w:hAnsi="Times New Roman" w:cs="Times New Roman"/>
          <w:sz w:val="24"/>
          <w:szCs w:val="24"/>
        </w:rPr>
        <w:t xml:space="preserve"> </w:t>
      </w:r>
    </w:p>
    <w:p w:rsidR="003205AC" w:rsidRDefault="003205AC" w:rsidP="003205AC">
      <w:pPr>
        <w:ind w:left="360"/>
        <w:rPr>
          <w:rFonts w:ascii="Times New Roman" w:hAnsi="Times New Roman" w:cs="Times New Roman"/>
          <w:sz w:val="24"/>
          <w:szCs w:val="24"/>
        </w:rPr>
      </w:pPr>
      <w:r>
        <w:rPr>
          <w:rFonts w:ascii="Times New Roman" w:hAnsi="Times New Roman" w:cs="Times New Roman"/>
          <w:sz w:val="24"/>
          <w:szCs w:val="24"/>
        </w:rPr>
        <w:t>One of the ports surveyed recommended that ports establish inclusive</w:t>
      </w:r>
      <w:r w:rsidRPr="00527F2A">
        <w:rPr>
          <w:rFonts w:ascii="Times New Roman" w:hAnsi="Times New Roman" w:cs="Times New Roman"/>
          <w:sz w:val="24"/>
          <w:szCs w:val="24"/>
        </w:rPr>
        <w:t xml:space="preserve"> guideline</w:t>
      </w:r>
      <w:r>
        <w:rPr>
          <w:rFonts w:ascii="Times New Roman" w:hAnsi="Times New Roman" w:cs="Times New Roman"/>
          <w:sz w:val="24"/>
          <w:szCs w:val="24"/>
        </w:rPr>
        <w:t xml:space="preserve">s </w:t>
      </w:r>
      <w:r w:rsidRPr="00527F2A">
        <w:rPr>
          <w:rFonts w:ascii="Times New Roman" w:hAnsi="Times New Roman" w:cs="Times New Roman"/>
          <w:sz w:val="24"/>
          <w:szCs w:val="24"/>
        </w:rPr>
        <w:t>to determine rent</w:t>
      </w:r>
      <w:r>
        <w:rPr>
          <w:rFonts w:ascii="Times New Roman" w:hAnsi="Times New Roman" w:cs="Times New Roman"/>
          <w:sz w:val="24"/>
          <w:szCs w:val="24"/>
        </w:rPr>
        <w:t>al rates</w:t>
      </w:r>
      <w:r w:rsidRPr="00527F2A">
        <w:rPr>
          <w:rFonts w:ascii="Times New Roman" w:hAnsi="Times New Roman" w:cs="Times New Roman"/>
          <w:sz w:val="24"/>
          <w:szCs w:val="24"/>
        </w:rPr>
        <w:t xml:space="preserve">. The </w:t>
      </w:r>
      <w:r>
        <w:rPr>
          <w:rFonts w:ascii="Times New Roman" w:hAnsi="Times New Roman" w:cs="Times New Roman"/>
          <w:sz w:val="24"/>
          <w:szCs w:val="24"/>
        </w:rPr>
        <w:t xml:space="preserve">port’s </w:t>
      </w:r>
      <w:r w:rsidRPr="00A4529C">
        <w:rPr>
          <w:rFonts w:ascii="Times New Roman" w:hAnsi="Times New Roman" w:cs="Times New Roman"/>
          <w:sz w:val="24"/>
          <w:szCs w:val="24"/>
        </w:rPr>
        <w:t>Guideline Rent</w:t>
      </w:r>
      <w:r>
        <w:rPr>
          <w:rFonts w:ascii="Times New Roman" w:hAnsi="Times New Roman" w:cs="Times New Roman"/>
          <w:sz w:val="24"/>
          <w:szCs w:val="24"/>
        </w:rPr>
        <w:t xml:space="preserve"> calculation values the range of </w:t>
      </w:r>
      <w:r w:rsidRPr="00527F2A">
        <w:rPr>
          <w:rFonts w:ascii="Times New Roman" w:hAnsi="Times New Roman" w:cs="Times New Roman"/>
          <w:sz w:val="24"/>
          <w:szCs w:val="24"/>
        </w:rPr>
        <w:t>assets</w:t>
      </w:r>
      <w:r>
        <w:rPr>
          <w:rFonts w:ascii="Times New Roman" w:hAnsi="Times New Roman" w:cs="Times New Roman"/>
          <w:sz w:val="24"/>
          <w:szCs w:val="24"/>
        </w:rPr>
        <w:t xml:space="preserve"> covered by the lease </w:t>
      </w:r>
      <w:r w:rsidRPr="00527F2A">
        <w:rPr>
          <w:rFonts w:ascii="Times New Roman" w:hAnsi="Times New Roman" w:cs="Times New Roman"/>
          <w:sz w:val="24"/>
          <w:szCs w:val="24"/>
        </w:rPr>
        <w:t>includ</w:t>
      </w:r>
      <w:r>
        <w:rPr>
          <w:rFonts w:ascii="Times New Roman" w:hAnsi="Times New Roman" w:cs="Times New Roman"/>
          <w:sz w:val="24"/>
          <w:szCs w:val="24"/>
        </w:rPr>
        <w:t xml:space="preserve">ing: </w:t>
      </w:r>
      <w:r w:rsidRPr="00527F2A">
        <w:rPr>
          <w:rFonts w:ascii="Times New Roman" w:hAnsi="Times New Roman" w:cs="Times New Roman"/>
          <w:sz w:val="24"/>
          <w:szCs w:val="24"/>
        </w:rPr>
        <w:t xml:space="preserve"> 1) land, submerged land, or water, 2) capital improvements such as buildings, wharves, paving, lighting, rail facilities, or water, and 3) equi</w:t>
      </w:r>
      <w:r>
        <w:rPr>
          <w:rFonts w:ascii="Times New Roman" w:hAnsi="Times New Roman" w:cs="Times New Roman"/>
          <w:sz w:val="24"/>
          <w:szCs w:val="24"/>
        </w:rPr>
        <w:t>pment such as cranes and ship lo</w:t>
      </w:r>
      <w:r w:rsidRPr="00527F2A">
        <w:rPr>
          <w:rFonts w:ascii="Times New Roman" w:hAnsi="Times New Roman" w:cs="Times New Roman"/>
          <w:sz w:val="24"/>
          <w:szCs w:val="24"/>
        </w:rPr>
        <w:t>aders. Th</w:t>
      </w:r>
      <w:r>
        <w:rPr>
          <w:rFonts w:ascii="Times New Roman" w:hAnsi="Times New Roman" w:cs="Times New Roman"/>
          <w:sz w:val="24"/>
          <w:szCs w:val="24"/>
        </w:rPr>
        <w:t>at</w:t>
      </w:r>
      <w:r w:rsidRPr="00527F2A">
        <w:rPr>
          <w:rFonts w:ascii="Times New Roman" w:hAnsi="Times New Roman" w:cs="Times New Roman"/>
          <w:sz w:val="24"/>
          <w:szCs w:val="24"/>
        </w:rPr>
        <w:t xml:space="preserve"> port utilizes all methods available to establish a basis for determining Guideline Rent which may include engaging third-party appraisers or consultants</w:t>
      </w:r>
      <w:r>
        <w:rPr>
          <w:rFonts w:ascii="Times New Roman" w:hAnsi="Times New Roman" w:cs="Times New Roman"/>
          <w:sz w:val="24"/>
          <w:szCs w:val="24"/>
        </w:rPr>
        <w:t xml:space="preserve"> to review </w:t>
      </w:r>
      <w:r>
        <w:rPr>
          <w:rFonts w:ascii="Times New Roman" w:hAnsi="Times New Roman" w:cs="Times New Roman"/>
          <w:sz w:val="24"/>
          <w:szCs w:val="24"/>
        </w:rPr>
        <w:lastRenderedPageBreak/>
        <w:t>competing ports, adjacent markets, and adjust values and rates due to age and condition of the property, allowing for CPI or Fair Market Value adjustments over time.</w:t>
      </w:r>
      <w:r w:rsidRPr="00527F2A">
        <w:rPr>
          <w:rFonts w:ascii="Times New Roman" w:hAnsi="Times New Roman" w:cs="Times New Roman"/>
          <w:sz w:val="24"/>
          <w:szCs w:val="24"/>
        </w:rPr>
        <w:t xml:space="preserve"> </w:t>
      </w:r>
    </w:p>
    <w:p w:rsidR="003205AC" w:rsidRDefault="003205AC" w:rsidP="00767AAA">
      <w:pPr>
        <w:ind w:left="360"/>
        <w:rPr>
          <w:rFonts w:ascii="Times New Roman" w:hAnsi="Times New Roman" w:cs="Times New Roman"/>
          <w:sz w:val="24"/>
          <w:szCs w:val="24"/>
        </w:rPr>
      </w:pPr>
    </w:p>
    <w:p w:rsidR="003205AC" w:rsidRPr="003205AC" w:rsidRDefault="003205AC" w:rsidP="003205AC">
      <w:pPr>
        <w:ind w:left="360"/>
        <w:rPr>
          <w:rFonts w:ascii="Times New Roman" w:hAnsi="Times New Roman" w:cs="Times New Roman"/>
          <w:b/>
          <w:sz w:val="24"/>
          <w:szCs w:val="24"/>
        </w:rPr>
      </w:pPr>
      <w:r w:rsidRPr="00035ED2">
        <w:rPr>
          <w:rFonts w:ascii="Times New Roman" w:hAnsi="Times New Roman" w:cs="Times New Roman"/>
          <w:b/>
          <w:sz w:val="24"/>
          <w:szCs w:val="24"/>
        </w:rPr>
        <w:t xml:space="preserve">Special Provisions and Performance Incentives </w:t>
      </w:r>
    </w:p>
    <w:p w:rsidR="00767AAA" w:rsidRDefault="00767AAA" w:rsidP="00767AAA">
      <w:pPr>
        <w:ind w:left="360"/>
        <w:rPr>
          <w:rFonts w:ascii="Times New Roman" w:hAnsi="Times New Roman" w:cs="Times New Roman"/>
          <w:sz w:val="24"/>
          <w:szCs w:val="24"/>
        </w:rPr>
      </w:pPr>
      <w:r w:rsidRPr="00527F2A">
        <w:rPr>
          <w:rFonts w:ascii="Times New Roman" w:hAnsi="Times New Roman" w:cs="Times New Roman"/>
          <w:sz w:val="24"/>
          <w:szCs w:val="24"/>
        </w:rPr>
        <w:t>The port</w:t>
      </w:r>
      <w:r>
        <w:rPr>
          <w:rFonts w:ascii="Times New Roman" w:hAnsi="Times New Roman" w:cs="Times New Roman"/>
          <w:sz w:val="24"/>
          <w:szCs w:val="24"/>
        </w:rPr>
        <w:t xml:space="preserve"> </w:t>
      </w:r>
      <w:r w:rsidRPr="00527F2A">
        <w:rPr>
          <w:rFonts w:ascii="Times New Roman" w:hAnsi="Times New Roman" w:cs="Times New Roman"/>
          <w:sz w:val="24"/>
          <w:szCs w:val="24"/>
        </w:rPr>
        <w:t xml:space="preserve">can also </w:t>
      </w:r>
      <w:r>
        <w:rPr>
          <w:rFonts w:ascii="Times New Roman" w:hAnsi="Times New Roman" w:cs="Times New Roman"/>
          <w:sz w:val="24"/>
          <w:szCs w:val="24"/>
        </w:rPr>
        <w:t>employ</w:t>
      </w:r>
      <w:r w:rsidRPr="00527F2A">
        <w:rPr>
          <w:rFonts w:ascii="Times New Roman" w:hAnsi="Times New Roman" w:cs="Times New Roman"/>
          <w:sz w:val="24"/>
          <w:szCs w:val="24"/>
        </w:rPr>
        <w:t xml:space="preserve"> standard</w:t>
      </w:r>
      <w:r>
        <w:rPr>
          <w:rFonts w:ascii="Times New Roman" w:hAnsi="Times New Roman" w:cs="Times New Roman"/>
          <w:sz w:val="24"/>
          <w:szCs w:val="24"/>
        </w:rPr>
        <w:t xml:space="preserve"> (or special)</w:t>
      </w:r>
      <w:r w:rsidRPr="00527F2A">
        <w:rPr>
          <w:rFonts w:ascii="Times New Roman" w:hAnsi="Times New Roman" w:cs="Times New Roman"/>
          <w:sz w:val="24"/>
          <w:szCs w:val="24"/>
        </w:rPr>
        <w:t xml:space="preserve"> provisions in all </w:t>
      </w:r>
      <w:r>
        <w:rPr>
          <w:rFonts w:ascii="Times New Roman" w:hAnsi="Times New Roman" w:cs="Times New Roman"/>
          <w:sz w:val="24"/>
          <w:szCs w:val="24"/>
        </w:rPr>
        <w:t xml:space="preserve">leases </w:t>
      </w:r>
      <w:r w:rsidRPr="00527F2A">
        <w:rPr>
          <w:rFonts w:ascii="Times New Roman" w:hAnsi="Times New Roman" w:cs="Times New Roman"/>
          <w:sz w:val="24"/>
          <w:szCs w:val="24"/>
        </w:rPr>
        <w:t>and should decide if these provisions a</w:t>
      </w:r>
      <w:r>
        <w:rPr>
          <w:rFonts w:ascii="Times New Roman" w:hAnsi="Times New Roman" w:cs="Times New Roman"/>
          <w:sz w:val="24"/>
          <w:szCs w:val="24"/>
        </w:rPr>
        <w:t>re negotiable. Examples from the ports surveyed</w:t>
      </w:r>
      <w:r w:rsidRPr="00527F2A">
        <w:rPr>
          <w:rFonts w:ascii="Times New Roman" w:hAnsi="Times New Roman" w:cs="Times New Roman"/>
          <w:sz w:val="24"/>
          <w:szCs w:val="24"/>
        </w:rPr>
        <w:t xml:space="preserve"> are</w:t>
      </w:r>
      <w:r>
        <w:rPr>
          <w:rFonts w:ascii="Times New Roman" w:hAnsi="Times New Roman" w:cs="Times New Roman"/>
          <w:sz w:val="24"/>
          <w:szCs w:val="24"/>
        </w:rPr>
        <w:t>:</w:t>
      </w:r>
    </w:p>
    <w:p w:rsidR="00767AAA" w:rsidRPr="007F6352"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Living Wage Policy compliance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Non-discrimination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Small Local Business Utilization Policy compliance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the Maritime Aviation Project Labor Agreement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which applies to various “construction” activities broadly defined in the Agreement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Tidelands Trust compliant use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Surrender and Holding Over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Taxes and Assessments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Utilities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Title to Improvements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Dredging</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Crane Insurance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Damage and Destruction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Indemnification and Liability Insurance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Toxic Materials (and related items)</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 Annoying and Injurious Conduct; Defaults and Remedies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Security and Protection of Premises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Waivers; Right to Inspect Premises</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 Visitors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Estoppel Certificates</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 Force Majeure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Eminent Domain</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Waiver of Claims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Extension of time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Sections and Subsections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Successor; Time of Essence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Notice; Other Agreements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Applicable Law and Venue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Covenant Against Contingent Fees</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 xml:space="preserve">Third Party Rights; Definitions </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lastRenderedPageBreak/>
        <w:t>Warranty of Signatories</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Agreement in Multiple Copies</w:t>
      </w:r>
    </w:p>
    <w:p w:rsidR="00767AAA" w:rsidRDefault="00767AAA" w:rsidP="00767AAA">
      <w:pPr>
        <w:pStyle w:val="ListParagraph"/>
        <w:numPr>
          <w:ilvl w:val="0"/>
          <w:numId w:val="2"/>
        </w:numPr>
        <w:rPr>
          <w:rFonts w:ascii="Times New Roman" w:hAnsi="Times New Roman" w:cs="Times New Roman"/>
          <w:sz w:val="24"/>
          <w:szCs w:val="24"/>
        </w:rPr>
      </w:pPr>
      <w:r w:rsidRPr="007F6352">
        <w:rPr>
          <w:rFonts w:ascii="Times New Roman" w:hAnsi="Times New Roman" w:cs="Times New Roman"/>
          <w:sz w:val="24"/>
          <w:szCs w:val="24"/>
        </w:rPr>
        <w:t>Partnership</w:t>
      </w:r>
      <w:r w:rsidR="00AE0E3D">
        <w:rPr>
          <w:rFonts w:ascii="Times New Roman" w:hAnsi="Times New Roman" w:cs="Times New Roman"/>
          <w:sz w:val="24"/>
          <w:szCs w:val="24"/>
        </w:rPr>
        <w:t xml:space="preserve"> considerations</w:t>
      </w:r>
      <w:r w:rsidRPr="007F6352">
        <w:rPr>
          <w:rFonts w:ascii="Times New Roman" w:hAnsi="Times New Roman" w:cs="Times New Roman"/>
          <w:sz w:val="24"/>
          <w:szCs w:val="24"/>
        </w:rPr>
        <w:t xml:space="preserve"> </w:t>
      </w:r>
    </w:p>
    <w:p w:rsidR="00F7543E" w:rsidRDefault="00AE0E3D" w:rsidP="003205AC">
      <w:pPr>
        <w:ind w:left="360"/>
        <w:rPr>
          <w:rFonts w:ascii="Times New Roman" w:hAnsi="Times New Roman" w:cs="Times New Roman"/>
          <w:sz w:val="24"/>
          <w:szCs w:val="24"/>
        </w:rPr>
      </w:pPr>
      <w:r>
        <w:rPr>
          <w:rFonts w:ascii="Times New Roman" w:hAnsi="Times New Roman" w:cs="Times New Roman"/>
          <w:sz w:val="24"/>
          <w:szCs w:val="24"/>
        </w:rPr>
        <w:t xml:space="preserve">In general nearly all surveyed ports agreed with the idea of a standard lease template as a starting place for all tenant negotiations on the port. The value of this approach is obvious, not only in time saved in recreating the wheel, but in maintaining a standards-based approach to lease terms. Some common themes in legal terms </w:t>
      </w:r>
      <w:r w:rsidR="00F7543E">
        <w:rPr>
          <w:rFonts w:ascii="Times New Roman" w:hAnsi="Times New Roman" w:cs="Times New Roman"/>
          <w:sz w:val="24"/>
          <w:szCs w:val="24"/>
        </w:rPr>
        <w:t>were regularly mentioned in our surveys, including:</w:t>
      </w:r>
    </w:p>
    <w:p w:rsidR="003205AC" w:rsidRDefault="00F7543E" w:rsidP="003205AC">
      <w:pPr>
        <w:ind w:left="360"/>
        <w:rPr>
          <w:rFonts w:ascii="Times New Roman" w:hAnsi="Times New Roman" w:cs="Times New Roman"/>
          <w:sz w:val="24"/>
          <w:szCs w:val="24"/>
        </w:rPr>
      </w:pPr>
      <w:r w:rsidRPr="007669AE">
        <w:rPr>
          <w:rFonts w:ascii="Times New Roman" w:hAnsi="Times New Roman" w:cs="Times New Roman"/>
          <w:sz w:val="24"/>
          <w:szCs w:val="24"/>
          <w:u w:val="single"/>
        </w:rPr>
        <w:t>Dispute Resolution</w:t>
      </w:r>
      <w:r>
        <w:rPr>
          <w:rFonts w:ascii="Times New Roman" w:hAnsi="Times New Roman" w:cs="Times New Roman"/>
          <w:sz w:val="24"/>
          <w:szCs w:val="24"/>
        </w:rPr>
        <w:t>: Standard d</w:t>
      </w:r>
      <w:r w:rsidR="00767AAA" w:rsidRPr="007F6352">
        <w:rPr>
          <w:rFonts w:ascii="Times New Roman" w:hAnsi="Times New Roman" w:cs="Times New Roman"/>
          <w:sz w:val="24"/>
          <w:szCs w:val="24"/>
        </w:rPr>
        <w:t>ispute resolution language in the lease</w:t>
      </w:r>
      <w:r>
        <w:rPr>
          <w:rFonts w:ascii="Times New Roman" w:hAnsi="Times New Roman" w:cs="Times New Roman"/>
          <w:sz w:val="24"/>
          <w:szCs w:val="24"/>
        </w:rPr>
        <w:t xml:space="preserve"> template</w:t>
      </w:r>
      <w:r w:rsidR="00767AAA" w:rsidRPr="007F6352">
        <w:rPr>
          <w:rFonts w:ascii="Times New Roman" w:hAnsi="Times New Roman" w:cs="Times New Roman"/>
          <w:sz w:val="24"/>
          <w:szCs w:val="24"/>
        </w:rPr>
        <w:t xml:space="preserve"> to help resolve disputes and avoid litigation. </w:t>
      </w:r>
    </w:p>
    <w:p w:rsidR="00F078CA" w:rsidRPr="00527F2A" w:rsidRDefault="00F7543E" w:rsidP="00F078CA">
      <w:pPr>
        <w:ind w:left="360"/>
        <w:rPr>
          <w:rFonts w:ascii="Times New Roman" w:hAnsi="Times New Roman" w:cs="Times New Roman"/>
          <w:sz w:val="24"/>
          <w:szCs w:val="24"/>
        </w:rPr>
      </w:pPr>
      <w:r w:rsidRPr="007669AE">
        <w:rPr>
          <w:rFonts w:ascii="Times New Roman" w:hAnsi="Times New Roman" w:cs="Times New Roman"/>
          <w:sz w:val="24"/>
          <w:szCs w:val="24"/>
          <w:u w:val="single"/>
        </w:rPr>
        <w:t>Performance Requirements</w:t>
      </w:r>
      <w:r>
        <w:rPr>
          <w:rFonts w:ascii="Times New Roman" w:hAnsi="Times New Roman" w:cs="Times New Roman"/>
          <w:sz w:val="24"/>
          <w:szCs w:val="24"/>
        </w:rPr>
        <w:t xml:space="preserve">: </w:t>
      </w:r>
      <w:r w:rsidR="00767AAA">
        <w:rPr>
          <w:rFonts w:ascii="Times New Roman" w:hAnsi="Times New Roman" w:cs="Times New Roman"/>
          <w:sz w:val="24"/>
          <w:szCs w:val="24"/>
        </w:rPr>
        <w:t xml:space="preserve">The surveys </w:t>
      </w:r>
      <w:r w:rsidR="00781876">
        <w:rPr>
          <w:rFonts w:ascii="Times New Roman" w:hAnsi="Times New Roman" w:cs="Times New Roman"/>
          <w:sz w:val="24"/>
          <w:szCs w:val="24"/>
        </w:rPr>
        <w:t>revealed</w:t>
      </w:r>
      <w:r w:rsidR="00767AAA">
        <w:rPr>
          <w:rFonts w:ascii="Times New Roman" w:hAnsi="Times New Roman" w:cs="Times New Roman"/>
          <w:sz w:val="24"/>
          <w:szCs w:val="24"/>
        </w:rPr>
        <w:t xml:space="preserve"> that i</w:t>
      </w:r>
      <w:r w:rsidR="00ED2A80" w:rsidRPr="00527F2A">
        <w:rPr>
          <w:rFonts w:ascii="Times New Roman" w:hAnsi="Times New Roman" w:cs="Times New Roman"/>
          <w:sz w:val="24"/>
          <w:szCs w:val="24"/>
        </w:rPr>
        <w:t>t</w:t>
      </w:r>
      <w:r w:rsidR="00E43960" w:rsidRPr="00527F2A">
        <w:rPr>
          <w:rFonts w:ascii="Times New Roman" w:hAnsi="Times New Roman" w:cs="Times New Roman"/>
          <w:sz w:val="24"/>
          <w:szCs w:val="24"/>
        </w:rPr>
        <w:t xml:space="preserve"> can be beneficial </w:t>
      </w:r>
      <w:r w:rsidR="00ED2A80" w:rsidRPr="00527F2A">
        <w:rPr>
          <w:rFonts w:ascii="Times New Roman" w:hAnsi="Times New Roman" w:cs="Times New Roman"/>
          <w:sz w:val="24"/>
          <w:szCs w:val="24"/>
        </w:rPr>
        <w:t>for port</w:t>
      </w:r>
      <w:r w:rsidR="00781876">
        <w:rPr>
          <w:rFonts w:ascii="Times New Roman" w:hAnsi="Times New Roman" w:cs="Times New Roman"/>
          <w:sz w:val="24"/>
          <w:szCs w:val="24"/>
        </w:rPr>
        <w:t>s</w:t>
      </w:r>
      <w:r w:rsidR="00E43960" w:rsidRPr="00527F2A">
        <w:rPr>
          <w:rFonts w:ascii="Times New Roman" w:hAnsi="Times New Roman" w:cs="Times New Roman"/>
          <w:sz w:val="24"/>
          <w:szCs w:val="24"/>
        </w:rPr>
        <w:t xml:space="preserve"> to </w:t>
      </w:r>
      <w:r w:rsidR="00D73D99">
        <w:rPr>
          <w:rFonts w:ascii="Times New Roman" w:hAnsi="Times New Roman" w:cs="Times New Roman"/>
          <w:sz w:val="24"/>
          <w:szCs w:val="24"/>
        </w:rPr>
        <w:t>establish</w:t>
      </w:r>
      <w:r w:rsidR="00D73D99" w:rsidRPr="00527F2A">
        <w:rPr>
          <w:rFonts w:ascii="Times New Roman" w:hAnsi="Times New Roman" w:cs="Times New Roman"/>
          <w:sz w:val="24"/>
          <w:szCs w:val="24"/>
        </w:rPr>
        <w:t xml:space="preserve"> </w:t>
      </w:r>
      <w:r w:rsidR="00E73ADF">
        <w:rPr>
          <w:rFonts w:ascii="Times New Roman" w:hAnsi="Times New Roman" w:cs="Times New Roman"/>
          <w:sz w:val="24"/>
          <w:szCs w:val="24"/>
        </w:rPr>
        <w:t>performance</w:t>
      </w:r>
      <w:r w:rsidR="00D73D99">
        <w:rPr>
          <w:rFonts w:ascii="Times New Roman" w:hAnsi="Times New Roman" w:cs="Times New Roman"/>
          <w:sz w:val="24"/>
          <w:szCs w:val="24"/>
        </w:rPr>
        <w:t xml:space="preserve"> </w:t>
      </w:r>
      <w:r w:rsidR="00ED2A80" w:rsidRPr="00527F2A">
        <w:rPr>
          <w:rFonts w:ascii="Times New Roman" w:hAnsi="Times New Roman" w:cs="Times New Roman"/>
          <w:sz w:val="24"/>
          <w:szCs w:val="24"/>
        </w:rPr>
        <w:t>requirements</w:t>
      </w:r>
      <w:r w:rsidR="00ED2A80">
        <w:rPr>
          <w:rFonts w:ascii="Times New Roman" w:hAnsi="Times New Roman" w:cs="Times New Roman"/>
          <w:sz w:val="24"/>
          <w:szCs w:val="24"/>
        </w:rPr>
        <w:t xml:space="preserve"> </w:t>
      </w:r>
      <w:r w:rsidR="00ED2A80" w:rsidRPr="00527F2A">
        <w:rPr>
          <w:rFonts w:ascii="Times New Roman" w:hAnsi="Times New Roman" w:cs="Times New Roman"/>
          <w:sz w:val="24"/>
          <w:szCs w:val="24"/>
        </w:rPr>
        <w:t>for</w:t>
      </w:r>
      <w:r w:rsidR="00E43960" w:rsidRPr="00527F2A">
        <w:rPr>
          <w:rFonts w:ascii="Times New Roman" w:hAnsi="Times New Roman" w:cs="Times New Roman"/>
          <w:sz w:val="24"/>
          <w:szCs w:val="24"/>
        </w:rPr>
        <w:t xml:space="preserve"> the </w:t>
      </w:r>
      <w:r w:rsidR="00ED2A80" w:rsidRPr="00527F2A">
        <w:rPr>
          <w:rFonts w:ascii="Times New Roman" w:hAnsi="Times New Roman" w:cs="Times New Roman"/>
          <w:sz w:val="24"/>
          <w:szCs w:val="24"/>
        </w:rPr>
        <w:t>tenant</w:t>
      </w:r>
      <w:r w:rsidR="00ED2A80">
        <w:rPr>
          <w:rFonts w:ascii="Times New Roman" w:hAnsi="Times New Roman" w:cs="Times New Roman"/>
          <w:sz w:val="24"/>
          <w:szCs w:val="24"/>
        </w:rPr>
        <w:t xml:space="preserve"> port’s</w:t>
      </w:r>
      <w:r w:rsidR="00BE16D3">
        <w:rPr>
          <w:rFonts w:ascii="Times New Roman" w:hAnsi="Times New Roman" w:cs="Times New Roman"/>
          <w:sz w:val="24"/>
          <w:szCs w:val="24"/>
        </w:rPr>
        <w:t xml:space="preserve"> leasing policies.</w:t>
      </w:r>
      <w:r w:rsidR="00E43960" w:rsidRPr="00527F2A">
        <w:rPr>
          <w:rFonts w:ascii="Times New Roman" w:hAnsi="Times New Roman" w:cs="Times New Roman"/>
          <w:sz w:val="24"/>
          <w:szCs w:val="24"/>
        </w:rPr>
        <w:t xml:space="preserve"> The </w:t>
      </w:r>
      <w:r w:rsidR="00BE16D3">
        <w:rPr>
          <w:rFonts w:ascii="Times New Roman" w:hAnsi="Times New Roman" w:cs="Times New Roman"/>
          <w:sz w:val="24"/>
          <w:szCs w:val="24"/>
        </w:rPr>
        <w:t xml:space="preserve">specific </w:t>
      </w:r>
      <w:r w:rsidR="00E43960" w:rsidRPr="00527F2A">
        <w:rPr>
          <w:rFonts w:ascii="Times New Roman" w:hAnsi="Times New Roman" w:cs="Times New Roman"/>
          <w:sz w:val="24"/>
          <w:szCs w:val="24"/>
        </w:rPr>
        <w:t>kinds of provisions that should be included in the leasing polic</w:t>
      </w:r>
      <w:r w:rsidR="00D73D99">
        <w:rPr>
          <w:rFonts w:ascii="Times New Roman" w:hAnsi="Times New Roman" w:cs="Times New Roman"/>
          <w:sz w:val="24"/>
          <w:szCs w:val="24"/>
        </w:rPr>
        <w:t>ies</w:t>
      </w:r>
      <w:r w:rsidR="00E43960" w:rsidRPr="00527F2A">
        <w:rPr>
          <w:rFonts w:ascii="Times New Roman" w:hAnsi="Times New Roman" w:cs="Times New Roman"/>
          <w:sz w:val="24"/>
          <w:szCs w:val="24"/>
        </w:rPr>
        <w:t xml:space="preserve"> should be </w:t>
      </w:r>
      <w:r w:rsidR="00ED2A80">
        <w:rPr>
          <w:rFonts w:ascii="Times New Roman" w:hAnsi="Times New Roman" w:cs="Times New Roman"/>
          <w:sz w:val="24"/>
          <w:szCs w:val="24"/>
        </w:rPr>
        <w:t>agreed upon</w:t>
      </w:r>
      <w:r w:rsidR="00ED2A80" w:rsidRPr="00527F2A">
        <w:rPr>
          <w:rFonts w:ascii="Times New Roman" w:hAnsi="Times New Roman" w:cs="Times New Roman"/>
          <w:sz w:val="24"/>
          <w:szCs w:val="24"/>
        </w:rPr>
        <w:t xml:space="preserve"> </w:t>
      </w:r>
      <w:r w:rsidR="00E43960" w:rsidRPr="00527F2A">
        <w:rPr>
          <w:rFonts w:ascii="Times New Roman" w:hAnsi="Times New Roman" w:cs="Times New Roman"/>
          <w:sz w:val="24"/>
          <w:szCs w:val="24"/>
        </w:rPr>
        <w:t>on by the board members</w:t>
      </w:r>
      <w:r w:rsidR="00ED2A80">
        <w:rPr>
          <w:rFonts w:ascii="Times New Roman" w:hAnsi="Times New Roman" w:cs="Times New Roman"/>
          <w:sz w:val="24"/>
          <w:szCs w:val="24"/>
        </w:rPr>
        <w:t xml:space="preserve"> to maintain continuity in the lease agreements</w:t>
      </w:r>
      <w:r w:rsidR="00E43960" w:rsidRPr="00527F2A">
        <w:rPr>
          <w:rFonts w:ascii="Times New Roman" w:hAnsi="Times New Roman" w:cs="Times New Roman"/>
          <w:sz w:val="24"/>
          <w:szCs w:val="24"/>
        </w:rPr>
        <w:t xml:space="preserve">. Some examples of provisions include; </w:t>
      </w:r>
      <w:r w:rsidR="00ED2A80" w:rsidRPr="00527F2A">
        <w:rPr>
          <w:rFonts w:ascii="Times New Roman" w:hAnsi="Times New Roman" w:cs="Times New Roman"/>
          <w:sz w:val="24"/>
          <w:szCs w:val="24"/>
        </w:rPr>
        <w:t>a</w:t>
      </w:r>
      <w:r w:rsidR="00E43960" w:rsidRPr="00527F2A">
        <w:rPr>
          <w:rFonts w:ascii="Times New Roman" w:hAnsi="Times New Roman" w:cs="Times New Roman"/>
          <w:sz w:val="24"/>
          <w:szCs w:val="24"/>
        </w:rPr>
        <w:t xml:space="preserve"> requirement that commercial tenants be in compliance with a recreation dockage policy if it is approved in the future, marina maintenance audits required every 5 years and the requirement for the tenant to make the improvem</w:t>
      </w:r>
      <w:r w:rsidR="00F078CA" w:rsidRPr="00527F2A">
        <w:rPr>
          <w:rFonts w:ascii="Times New Roman" w:hAnsi="Times New Roman" w:cs="Times New Roman"/>
          <w:sz w:val="24"/>
          <w:szCs w:val="24"/>
        </w:rPr>
        <w:t>ents identified in the survey.</w:t>
      </w:r>
    </w:p>
    <w:p w:rsidR="00A921C0" w:rsidRPr="00527F2A" w:rsidRDefault="00F7543E" w:rsidP="00F078CA">
      <w:pPr>
        <w:ind w:left="360"/>
        <w:rPr>
          <w:rFonts w:ascii="Times New Roman" w:hAnsi="Times New Roman" w:cs="Times New Roman"/>
          <w:sz w:val="24"/>
          <w:szCs w:val="24"/>
        </w:rPr>
      </w:pPr>
      <w:r w:rsidRPr="007669AE">
        <w:rPr>
          <w:rFonts w:ascii="Times New Roman" w:hAnsi="Times New Roman" w:cs="Times New Roman"/>
          <w:sz w:val="24"/>
          <w:szCs w:val="24"/>
          <w:u w:val="single"/>
        </w:rPr>
        <w:t xml:space="preserve">Air Pollution </w:t>
      </w:r>
      <w:r w:rsidR="007669AE" w:rsidRPr="007669AE">
        <w:rPr>
          <w:rFonts w:ascii="Times New Roman" w:hAnsi="Times New Roman" w:cs="Times New Roman"/>
          <w:sz w:val="24"/>
          <w:szCs w:val="24"/>
          <w:u w:val="single"/>
        </w:rPr>
        <w:t>Incentives</w:t>
      </w:r>
      <w:r w:rsidR="007669AE">
        <w:rPr>
          <w:rFonts w:ascii="Times New Roman" w:hAnsi="Times New Roman" w:cs="Times New Roman"/>
          <w:sz w:val="24"/>
          <w:szCs w:val="24"/>
        </w:rPr>
        <w:t>:</w:t>
      </w:r>
      <w:r w:rsidR="007669AE" w:rsidRPr="00527F2A">
        <w:rPr>
          <w:rFonts w:ascii="Times New Roman" w:hAnsi="Times New Roman" w:cs="Times New Roman"/>
          <w:sz w:val="24"/>
          <w:szCs w:val="24"/>
        </w:rPr>
        <w:t xml:space="preserve"> Most</w:t>
      </w:r>
      <w:r w:rsidR="00F078CA" w:rsidRPr="00527F2A">
        <w:rPr>
          <w:rFonts w:ascii="Times New Roman" w:hAnsi="Times New Roman" w:cs="Times New Roman"/>
          <w:sz w:val="24"/>
          <w:szCs w:val="24"/>
        </w:rPr>
        <w:t xml:space="preserve"> ports also include </w:t>
      </w:r>
      <w:r w:rsidR="00E43960" w:rsidRPr="00527F2A">
        <w:rPr>
          <w:rFonts w:ascii="Times New Roman" w:hAnsi="Times New Roman" w:cs="Times New Roman"/>
          <w:sz w:val="24"/>
          <w:szCs w:val="24"/>
        </w:rPr>
        <w:t>requirement</w:t>
      </w:r>
      <w:r w:rsidR="00F078CA" w:rsidRPr="00527F2A">
        <w:rPr>
          <w:rFonts w:ascii="Times New Roman" w:hAnsi="Times New Roman" w:cs="Times New Roman"/>
          <w:sz w:val="24"/>
          <w:szCs w:val="24"/>
        </w:rPr>
        <w:t>s</w:t>
      </w:r>
      <w:r w:rsidR="00817F4C">
        <w:rPr>
          <w:rFonts w:ascii="Times New Roman" w:hAnsi="Times New Roman" w:cs="Times New Roman"/>
          <w:sz w:val="24"/>
          <w:szCs w:val="24"/>
        </w:rPr>
        <w:t xml:space="preserve"> or incentives</w:t>
      </w:r>
      <w:r w:rsidR="00F078CA" w:rsidRPr="00527F2A">
        <w:rPr>
          <w:rFonts w:ascii="Times New Roman" w:hAnsi="Times New Roman" w:cs="Times New Roman"/>
          <w:sz w:val="24"/>
          <w:szCs w:val="24"/>
        </w:rPr>
        <w:t xml:space="preserve"> for tenants</w:t>
      </w:r>
      <w:r w:rsidR="00E43960" w:rsidRPr="00527F2A">
        <w:rPr>
          <w:rFonts w:ascii="Times New Roman" w:hAnsi="Times New Roman" w:cs="Times New Roman"/>
          <w:sz w:val="24"/>
          <w:szCs w:val="24"/>
        </w:rPr>
        <w:t xml:space="preserve"> to reduce air pollut</w:t>
      </w:r>
      <w:r w:rsidR="00817F4C">
        <w:rPr>
          <w:rFonts w:ascii="Times New Roman" w:hAnsi="Times New Roman" w:cs="Times New Roman"/>
          <w:sz w:val="24"/>
          <w:szCs w:val="24"/>
        </w:rPr>
        <w:t>ion</w:t>
      </w:r>
      <w:r w:rsidR="00ED2A80">
        <w:rPr>
          <w:rFonts w:ascii="Times New Roman" w:hAnsi="Times New Roman" w:cs="Times New Roman"/>
          <w:sz w:val="24"/>
          <w:szCs w:val="24"/>
        </w:rPr>
        <w:t xml:space="preserve"> </w:t>
      </w:r>
      <w:r w:rsidR="00E43960" w:rsidRPr="00527F2A">
        <w:rPr>
          <w:rFonts w:ascii="Times New Roman" w:hAnsi="Times New Roman" w:cs="Times New Roman"/>
          <w:sz w:val="24"/>
          <w:szCs w:val="24"/>
        </w:rPr>
        <w:t xml:space="preserve">emissions through identified responsibilities.   </w:t>
      </w:r>
      <w:r w:rsidR="00817F4C">
        <w:rPr>
          <w:rFonts w:ascii="Times New Roman" w:hAnsi="Times New Roman" w:cs="Times New Roman"/>
          <w:sz w:val="24"/>
          <w:szCs w:val="24"/>
        </w:rPr>
        <w:t>These include</w:t>
      </w:r>
      <w:r w:rsidR="00F078CA" w:rsidRPr="00527F2A">
        <w:rPr>
          <w:rFonts w:ascii="Times New Roman" w:hAnsi="Times New Roman" w:cs="Times New Roman"/>
          <w:sz w:val="24"/>
          <w:szCs w:val="24"/>
        </w:rPr>
        <w:t xml:space="preserve"> obligations for vessels to use shore side power, reduc</w:t>
      </w:r>
      <w:r w:rsidR="00817F4C">
        <w:rPr>
          <w:rFonts w:ascii="Times New Roman" w:hAnsi="Times New Roman" w:cs="Times New Roman"/>
          <w:sz w:val="24"/>
          <w:szCs w:val="24"/>
        </w:rPr>
        <w:t>e</w:t>
      </w:r>
      <w:r w:rsidR="00F078CA" w:rsidRPr="00527F2A">
        <w:rPr>
          <w:rFonts w:ascii="Times New Roman" w:hAnsi="Times New Roman" w:cs="Times New Roman"/>
          <w:sz w:val="24"/>
          <w:szCs w:val="24"/>
        </w:rPr>
        <w:t xml:space="preserve"> vessel speed, use of low emission yard equipment, purchase green commodities and installation of solar panels. Any failure to comply with these requirements is a default of the lease</w:t>
      </w:r>
      <w:r w:rsidR="00817F4C">
        <w:rPr>
          <w:rFonts w:ascii="Times New Roman" w:hAnsi="Times New Roman" w:cs="Times New Roman"/>
          <w:sz w:val="24"/>
          <w:szCs w:val="24"/>
        </w:rPr>
        <w:t>.  T</w:t>
      </w:r>
      <w:r w:rsidR="00F078CA" w:rsidRPr="00527F2A">
        <w:rPr>
          <w:rFonts w:ascii="Times New Roman" w:hAnsi="Times New Roman" w:cs="Times New Roman"/>
          <w:sz w:val="24"/>
          <w:szCs w:val="24"/>
        </w:rPr>
        <w:t>o</w:t>
      </w:r>
      <w:r w:rsidR="00817F4C">
        <w:rPr>
          <w:rFonts w:ascii="Times New Roman" w:hAnsi="Times New Roman" w:cs="Times New Roman"/>
          <w:sz w:val="24"/>
          <w:szCs w:val="24"/>
        </w:rPr>
        <w:t xml:space="preserve"> </w:t>
      </w:r>
      <w:r w:rsidR="00F078CA" w:rsidRPr="00527F2A">
        <w:rPr>
          <w:rFonts w:ascii="Times New Roman" w:hAnsi="Times New Roman" w:cs="Times New Roman"/>
          <w:sz w:val="24"/>
          <w:szCs w:val="24"/>
        </w:rPr>
        <w:t xml:space="preserve">prevent loss of a tenant </w:t>
      </w:r>
      <w:r w:rsidR="00817F4C">
        <w:rPr>
          <w:rFonts w:ascii="Times New Roman" w:hAnsi="Times New Roman" w:cs="Times New Roman"/>
          <w:sz w:val="24"/>
          <w:szCs w:val="24"/>
        </w:rPr>
        <w:t xml:space="preserve">by default, </w:t>
      </w:r>
      <w:r w:rsidR="00F078CA" w:rsidRPr="00527F2A">
        <w:rPr>
          <w:rFonts w:ascii="Times New Roman" w:hAnsi="Times New Roman" w:cs="Times New Roman"/>
          <w:sz w:val="24"/>
          <w:szCs w:val="24"/>
        </w:rPr>
        <w:t xml:space="preserve">one port has included </w:t>
      </w:r>
      <w:r w:rsidR="00817F4C">
        <w:rPr>
          <w:rFonts w:ascii="Times New Roman" w:hAnsi="Times New Roman" w:cs="Times New Roman"/>
          <w:sz w:val="24"/>
          <w:szCs w:val="24"/>
        </w:rPr>
        <w:t>a provision</w:t>
      </w:r>
      <w:r w:rsidR="00817F4C" w:rsidRPr="00527F2A">
        <w:rPr>
          <w:rFonts w:ascii="Times New Roman" w:hAnsi="Times New Roman" w:cs="Times New Roman"/>
          <w:sz w:val="24"/>
          <w:szCs w:val="24"/>
        </w:rPr>
        <w:t xml:space="preserve"> </w:t>
      </w:r>
      <w:r w:rsidR="00F078CA" w:rsidRPr="00527F2A">
        <w:rPr>
          <w:rFonts w:ascii="Times New Roman" w:hAnsi="Times New Roman" w:cs="Times New Roman"/>
          <w:sz w:val="24"/>
          <w:szCs w:val="24"/>
        </w:rPr>
        <w:t xml:space="preserve">to financially penalize tenants who are not in compliance. </w:t>
      </w:r>
    </w:p>
    <w:p w:rsidR="00A921C0" w:rsidRPr="00527F2A" w:rsidRDefault="00A921C0" w:rsidP="00F078CA">
      <w:pPr>
        <w:ind w:left="360"/>
        <w:rPr>
          <w:rFonts w:ascii="Times New Roman" w:hAnsi="Times New Roman" w:cs="Times New Roman"/>
          <w:sz w:val="24"/>
          <w:szCs w:val="24"/>
        </w:rPr>
      </w:pPr>
      <w:r w:rsidRPr="007669AE">
        <w:rPr>
          <w:rFonts w:ascii="Times New Roman" w:hAnsi="Times New Roman" w:cs="Times New Roman"/>
          <w:sz w:val="24"/>
          <w:szCs w:val="24"/>
          <w:u w:val="single"/>
        </w:rPr>
        <w:t>Environment</w:t>
      </w:r>
      <w:r w:rsidR="00491FB4" w:rsidRPr="007669AE">
        <w:rPr>
          <w:rFonts w:ascii="Times New Roman" w:hAnsi="Times New Roman" w:cs="Times New Roman"/>
          <w:sz w:val="24"/>
          <w:szCs w:val="24"/>
          <w:u w:val="single"/>
        </w:rPr>
        <w:t>al contamination</w:t>
      </w:r>
      <w:r w:rsidR="00F7543E">
        <w:rPr>
          <w:rFonts w:ascii="Times New Roman" w:hAnsi="Times New Roman" w:cs="Times New Roman"/>
          <w:sz w:val="24"/>
          <w:szCs w:val="24"/>
        </w:rPr>
        <w:t>:</w:t>
      </w:r>
      <w:r w:rsidR="00491FB4" w:rsidRPr="00527F2A">
        <w:rPr>
          <w:rFonts w:ascii="Times New Roman" w:hAnsi="Times New Roman" w:cs="Times New Roman"/>
          <w:sz w:val="24"/>
          <w:szCs w:val="24"/>
        </w:rPr>
        <w:t xml:space="preserve"> </w:t>
      </w:r>
      <w:r w:rsidR="00F7543E">
        <w:rPr>
          <w:rFonts w:ascii="Times New Roman" w:hAnsi="Times New Roman" w:cs="Times New Roman"/>
          <w:sz w:val="24"/>
          <w:szCs w:val="24"/>
        </w:rPr>
        <w:t xml:space="preserve">This </w:t>
      </w:r>
      <w:r w:rsidR="00491FB4" w:rsidRPr="00527F2A">
        <w:rPr>
          <w:rFonts w:ascii="Times New Roman" w:hAnsi="Times New Roman" w:cs="Times New Roman"/>
          <w:sz w:val="24"/>
          <w:szCs w:val="24"/>
        </w:rPr>
        <w:t>can be costl</w:t>
      </w:r>
      <w:r w:rsidR="00B157C6" w:rsidRPr="00527F2A">
        <w:rPr>
          <w:rFonts w:ascii="Times New Roman" w:hAnsi="Times New Roman" w:cs="Times New Roman"/>
          <w:sz w:val="24"/>
          <w:szCs w:val="24"/>
        </w:rPr>
        <w:t>y</w:t>
      </w:r>
      <w:r w:rsidRPr="00527F2A">
        <w:rPr>
          <w:rFonts w:ascii="Times New Roman" w:hAnsi="Times New Roman" w:cs="Times New Roman"/>
          <w:sz w:val="24"/>
          <w:szCs w:val="24"/>
        </w:rPr>
        <w:t xml:space="preserve"> </w:t>
      </w:r>
      <w:r w:rsidR="00817F4C">
        <w:rPr>
          <w:rFonts w:ascii="Times New Roman" w:hAnsi="Times New Roman" w:cs="Times New Roman"/>
          <w:sz w:val="24"/>
          <w:szCs w:val="24"/>
        </w:rPr>
        <w:t>both for</w:t>
      </w:r>
      <w:r w:rsidRPr="00527F2A">
        <w:rPr>
          <w:rFonts w:ascii="Times New Roman" w:hAnsi="Times New Roman" w:cs="Times New Roman"/>
          <w:sz w:val="24"/>
          <w:szCs w:val="24"/>
        </w:rPr>
        <w:t xml:space="preserve"> the t</w:t>
      </w:r>
      <w:r w:rsidR="00491FB4" w:rsidRPr="00527F2A">
        <w:rPr>
          <w:rFonts w:ascii="Times New Roman" w:hAnsi="Times New Roman" w:cs="Times New Roman"/>
          <w:sz w:val="24"/>
          <w:szCs w:val="24"/>
        </w:rPr>
        <w:t xml:space="preserve">enant </w:t>
      </w:r>
      <w:r w:rsidR="00817F4C">
        <w:rPr>
          <w:rFonts w:ascii="Times New Roman" w:hAnsi="Times New Roman" w:cs="Times New Roman"/>
          <w:sz w:val="24"/>
          <w:szCs w:val="24"/>
        </w:rPr>
        <w:t>and</w:t>
      </w:r>
      <w:r w:rsidR="00491FB4" w:rsidRPr="00527F2A">
        <w:rPr>
          <w:rFonts w:ascii="Times New Roman" w:hAnsi="Times New Roman" w:cs="Times New Roman"/>
          <w:sz w:val="24"/>
          <w:szCs w:val="24"/>
        </w:rPr>
        <w:t xml:space="preserve"> the port </w:t>
      </w:r>
      <w:r w:rsidR="00ED2A80" w:rsidRPr="00527F2A">
        <w:rPr>
          <w:rFonts w:ascii="Times New Roman" w:hAnsi="Times New Roman" w:cs="Times New Roman"/>
          <w:sz w:val="24"/>
          <w:szCs w:val="24"/>
        </w:rPr>
        <w:t xml:space="preserve">if </w:t>
      </w:r>
      <w:r w:rsidR="00ED2A80">
        <w:rPr>
          <w:rFonts w:ascii="Times New Roman" w:hAnsi="Times New Roman" w:cs="Times New Roman"/>
          <w:sz w:val="24"/>
          <w:szCs w:val="24"/>
        </w:rPr>
        <w:t>compliance</w:t>
      </w:r>
      <w:r w:rsidR="00817F4C">
        <w:rPr>
          <w:rFonts w:ascii="Times New Roman" w:hAnsi="Times New Roman" w:cs="Times New Roman"/>
          <w:sz w:val="24"/>
          <w:szCs w:val="24"/>
        </w:rPr>
        <w:t xml:space="preserve"> </w:t>
      </w:r>
      <w:r w:rsidR="00491FB4" w:rsidRPr="00527F2A">
        <w:rPr>
          <w:rFonts w:ascii="Times New Roman" w:hAnsi="Times New Roman" w:cs="Times New Roman"/>
          <w:sz w:val="24"/>
          <w:szCs w:val="24"/>
        </w:rPr>
        <w:t>responsibilit</w:t>
      </w:r>
      <w:r w:rsidR="00817F4C">
        <w:rPr>
          <w:rFonts w:ascii="Times New Roman" w:hAnsi="Times New Roman" w:cs="Times New Roman"/>
          <w:sz w:val="24"/>
          <w:szCs w:val="24"/>
        </w:rPr>
        <w:t>ies</w:t>
      </w:r>
      <w:r w:rsidR="00491FB4" w:rsidRPr="00527F2A">
        <w:rPr>
          <w:rFonts w:ascii="Times New Roman" w:hAnsi="Times New Roman" w:cs="Times New Roman"/>
          <w:sz w:val="24"/>
          <w:szCs w:val="24"/>
        </w:rPr>
        <w:t xml:space="preserve"> </w:t>
      </w:r>
      <w:r w:rsidR="00817F4C">
        <w:rPr>
          <w:rFonts w:ascii="Times New Roman" w:hAnsi="Times New Roman" w:cs="Times New Roman"/>
          <w:sz w:val="24"/>
          <w:szCs w:val="24"/>
        </w:rPr>
        <w:t>are</w:t>
      </w:r>
      <w:r w:rsidR="00817F4C" w:rsidRPr="00527F2A">
        <w:rPr>
          <w:rFonts w:ascii="Times New Roman" w:hAnsi="Times New Roman" w:cs="Times New Roman"/>
          <w:sz w:val="24"/>
          <w:szCs w:val="24"/>
        </w:rPr>
        <w:t xml:space="preserve"> </w:t>
      </w:r>
      <w:r w:rsidR="00491FB4" w:rsidRPr="00527F2A">
        <w:rPr>
          <w:rFonts w:ascii="Times New Roman" w:hAnsi="Times New Roman" w:cs="Times New Roman"/>
          <w:sz w:val="24"/>
          <w:szCs w:val="24"/>
        </w:rPr>
        <w:t>not clearly defined in the leasing policy</w:t>
      </w:r>
      <w:r w:rsidR="00817F4C">
        <w:rPr>
          <w:rFonts w:ascii="Times New Roman" w:hAnsi="Times New Roman" w:cs="Times New Roman"/>
          <w:sz w:val="24"/>
          <w:szCs w:val="24"/>
        </w:rPr>
        <w:t xml:space="preserve"> and the lease</w:t>
      </w:r>
      <w:r w:rsidR="00491FB4" w:rsidRPr="00527F2A">
        <w:rPr>
          <w:rFonts w:ascii="Times New Roman" w:hAnsi="Times New Roman" w:cs="Times New Roman"/>
          <w:sz w:val="24"/>
          <w:szCs w:val="24"/>
        </w:rPr>
        <w:t>. Most of the ports surveyed have detailed language in their leasing policies</w:t>
      </w:r>
      <w:r w:rsidR="00CB6E4B">
        <w:rPr>
          <w:rFonts w:ascii="Times New Roman" w:hAnsi="Times New Roman" w:cs="Times New Roman"/>
          <w:sz w:val="24"/>
          <w:szCs w:val="24"/>
        </w:rPr>
        <w:t xml:space="preserve"> (and/or leases?)</w:t>
      </w:r>
      <w:r w:rsidR="00491FB4" w:rsidRPr="00527F2A">
        <w:rPr>
          <w:rFonts w:ascii="Times New Roman" w:hAnsi="Times New Roman" w:cs="Times New Roman"/>
          <w:sz w:val="24"/>
          <w:szCs w:val="24"/>
        </w:rPr>
        <w:t xml:space="preserve"> that</w:t>
      </w:r>
      <w:r w:rsidR="00CB6E4B">
        <w:rPr>
          <w:rFonts w:ascii="Times New Roman" w:hAnsi="Times New Roman" w:cs="Times New Roman"/>
          <w:sz w:val="24"/>
          <w:szCs w:val="24"/>
        </w:rPr>
        <w:t xml:space="preserve"> hold the </w:t>
      </w:r>
      <w:r w:rsidR="00ED2A80">
        <w:rPr>
          <w:rFonts w:ascii="Times New Roman" w:hAnsi="Times New Roman" w:cs="Times New Roman"/>
          <w:sz w:val="24"/>
          <w:szCs w:val="24"/>
        </w:rPr>
        <w:t>tenant</w:t>
      </w:r>
      <w:r w:rsidR="00ED2A80" w:rsidRPr="00527F2A">
        <w:rPr>
          <w:rFonts w:ascii="Times New Roman" w:hAnsi="Times New Roman" w:cs="Times New Roman"/>
          <w:sz w:val="24"/>
          <w:szCs w:val="24"/>
        </w:rPr>
        <w:t xml:space="preserve"> </w:t>
      </w:r>
      <w:r w:rsidR="00ED2A80">
        <w:rPr>
          <w:rFonts w:ascii="Times New Roman" w:hAnsi="Times New Roman" w:cs="Times New Roman"/>
          <w:sz w:val="24"/>
          <w:szCs w:val="24"/>
        </w:rPr>
        <w:t>responsible for</w:t>
      </w:r>
      <w:r w:rsidR="00491FB4" w:rsidRPr="00527F2A">
        <w:rPr>
          <w:rFonts w:ascii="Times New Roman" w:hAnsi="Times New Roman" w:cs="Times New Roman"/>
          <w:sz w:val="24"/>
          <w:szCs w:val="24"/>
        </w:rPr>
        <w:t xml:space="preserve"> environmental </w:t>
      </w:r>
      <w:r w:rsidR="0028686F">
        <w:rPr>
          <w:rFonts w:ascii="Times New Roman" w:hAnsi="Times New Roman" w:cs="Times New Roman"/>
          <w:sz w:val="24"/>
          <w:szCs w:val="24"/>
        </w:rPr>
        <w:t xml:space="preserve">compliance and </w:t>
      </w:r>
      <w:r w:rsidR="00CB6E4B">
        <w:rPr>
          <w:rFonts w:ascii="Times New Roman" w:hAnsi="Times New Roman" w:cs="Times New Roman"/>
          <w:sz w:val="24"/>
          <w:szCs w:val="24"/>
        </w:rPr>
        <w:t xml:space="preserve">remediation of tenant-caused </w:t>
      </w:r>
      <w:r w:rsidR="00491FB4" w:rsidRPr="00527F2A">
        <w:rPr>
          <w:rFonts w:ascii="Times New Roman" w:hAnsi="Times New Roman" w:cs="Times New Roman"/>
          <w:sz w:val="24"/>
          <w:szCs w:val="24"/>
        </w:rPr>
        <w:t>contamination</w:t>
      </w:r>
      <w:r w:rsidR="00ED2A80">
        <w:rPr>
          <w:rFonts w:ascii="Times New Roman" w:hAnsi="Times New Roman" w:cs="Times New Roman"/>
          <w:sz w:val="24"/>
          <w:szCs w:val="24"/>
        </w:rPr>
        <w:t>.</w:t>
      </w:r>
      <w:r w:rsidR="00491FB4" w:rsidRPr="00527F2A">
        <w:rPr>
          <w:rFonts w:ascii="Times New Roman" w:hAnsi="Times New Roman" w:cs="Times New Roman"/>
          <w:sz w:val="24"/>
          <w:szCs w:val="24"/>
        </w:rPr>
        <w:t xml:space="preserve"> This </w:t>
      </w:r>
      <w:r w:rsidR="00CB6E4B">
        <w:rPr>
          <w:rFonts w:ascii="Times New Roman" w:hAnsi="Times New Roman" w:cs="Times New Roman"/>
          <w:sz w:val="24"/>
          <w:szCs w:val="24"/>
        </w:rPr>
        <w:t>also holds</w:t>
      </w:r>
      <w:r w:rsidR="00CB6E4B" w:rsidRPr="00527F2A">
        <w:rPr>
          <w:rFonts w:ascii="Times New Roman" w:hAnsi="Times New Roman" w:cs="Times New Roman"/>
          <w:sz w:val="24"/>
          <w:szCs w:val="24"/>
        </w:rPr>
        <w:t xml:space="preserve"> </w:t>
      </w:r>
      <w:r w:rsidR="00491FB4" w:rsidRPr="00527F2A">
        <w:rPr>
          <w:rFonts w:ascii="Times New Roman" w:hAnsi="Times New Roman" w:cs="Times New Roman"/>
          <w:sz w:val="24"/>
          <w:szCs w:val="24"/>
        </w:rPr>
        <w:t xml:space="preserve">the tenant responsible for securing </w:t>
      </w:r>
      <w:r w:rsidR="00ED2A80" w:rsidRPr="00527F2A">
        <w:rPr>
          <w:rFonts w:ascii="Times New Roman" w:hAnsi="Times New Roman" w:cs="Times New Roman"/>
          <w:sz w:val="24"/>
          <w:szCs w:val="24"/>
        </w:rPr>
        <w:t xml:space="preserve">all </w:t>
      </w:r>
      <w:r w:rsidR="00ED2A80">
        <w:rPr>
          <w:rFonts w:ascii="Times New Roman" w:hAnsi="Times New Roman" w:cs="Times New Roman"/>
          <w:sz w:val="24"/>
          <w:szCs w:val="24"/>
        </w:rPr>
        <w:t>required</w:t>
      </w:r>
      <w:r w:rsidR="00491FB4" w:rsidRPr="00527F2A">
        <w:rPr>
          <w:rFonts w:ascii="Times New Roman" w:hAnsi="Times New Roman" w:cs="Times New Roman"/>
          <w:sz w:val="24"/>
          <w:szCs w:val="24"/>
        </w:rPr>
        <w:t xml:space="preserve"> permits and regulatory approvals</w:t>
      </w:r>
      <w:r w:rsidR="00ED2A80">
        <w:rPr>
          <w:rFonts w:ascii="Times New Roman" w:hAnsi="Times New Roman" w:cs="Times New Roman"/>
          <w:sz w:val="24"/>
          <w:szCs w:val="24"/>
        </w:rPr>
        <w:t>.</w:t>
      </w:r>
      <w:r w:rsidR="00491FB4" w:rsidRPr="00527F2A">
        <w:rPr>
          <w:rFonts w:ascii="Times New Roman" w:hAnsi="Times New Roman" w:cs="Times New Roman"/>
          <w:sz w:val="24"/>
          <w:szCs w:val="24"/>
        </w:rPr>
        <w:t xml:space="preserve"> One of the ports </w:t>
      </w:r>
      <w:r w:rsidR="00ED2A80">
        <w:rPr>
          <w:rFonts w:ascii="Times New Roman" w:hAnsi="Times New Roman" w:cs="Times New Roman"/>
          <w:sz w:val="24"/>
          <w:szCs w:val="24"/>
        </w:rPr>
        <w:t xml:space="preserve">reported </w:t>
      </w:r>
      <w:r w:rsidR="00ED2A80" w:rsidRPr="00527F2A">
        <w:rPr>
          <w:rFonts w:ascii="Times New Roman" w:hAnsi="Times New Roman" w:cs="Times New Roman"/>
          <w:sz w:val="24"/>
          <w:szCs w:val="24"/>
        </w:rPr>
        <w:t>they</w:t>
      </w:r>
      <w:r w:rsidR="00491FB4" w:rsidRPr="00527F2A">
        <w:rPr>
          <w:rFonts w:ascii="Times New Roman" w:hAnsi="Times New Roman" w:cs="Times New Roman"/>
          <w:sz w:val="24"/>
          <w:szCs w:val="24"/>
        </w:rPr>
        <w:t xml:space="preserve"> have made exceptions to this rule</w:t>
      </w:r>
      <w:r w:rsidR="00CB6E4B">
        <w:rPr>
          <w:rFonts w:ascii="Times New Roman" w:hAnsi="Times New Roman" w:cs="Times New Roman"/>
          <w:sz w:val="24"/>
          <w:szCs w:val="24"/>
        </w:rPr>
        <w:t xml:space="preserve"> </w:t>
      </w:r>
      <w:r w:rsidR="00ED2A80">
        <w:rPr>
          <w:rFonts w:ascii="Times New Roman" w:hAnsi="Times New Roman" w:cs="Times New Roman"/>
          <w:sz w:val="24"/>
          <w:szCs w:val="24"/>
        </w:rPr>
        <w:t xml:space="preserve">citing </w:t>
      </w:r>
      <w:r w:rsidR="00ED2A80" w:rsidRPr="00527F2A">
        <w:rPr>
          <w:rFonts w:ascii="Times New Roman" w:hAnsi="Times New Roman" w:cs="Times New Roman"/>
          <w:sz w:val="24"/>
          <w:szCs w:val="24"/>
        </w:rPr>
        <w:t>an</w:t>
      </w:r>
      <w:r w:rsidR="00491FB4" w:rsidRPr="00527F2A">
        <w:rPr>
          <w:rFonts w:ascii="Times New Roman" w:hAnsi="Times New Roman" w:cs="Times New Roman"/>
          <w:sz w:val="24"/>
          <w:szCs w:val="24"/>
        </w:rPr>
        <w:t xml:space="preserve"> example that when </w:t>
      </w:r>
      <w:r w:rsidR="00CB6E4B">
        <w:rPr>
          <w:rFonts w:ascii="Times New Roman" w:hAnsi="Times New Roman" w:cs="Times New Roman"/>
          <w:sz w:val="24"/>
          <w:szCs w:val="24"/>
        </w:rPr>
        <w:t>it signed</w:t>
      </w:r>
      <w:r w:rsidR="00491FB4" w:rsidRPr="00527F2A">
        <w:rPr>
          <w:rFonts w:ascii="Times New Roman" w:hAnsi="Times New Roman" w:cs="Times New Roman"/>
          <w:sz w:val="24"/>
          <w:szCs w:val="24"/>
        </w:rPr>
        <w:t xml:space="preserve"> major </w:t>
      </w:r>
      <w:r w:rsidR="00CB6E4B">
        <w:rPr>
          <w:rFonts w:ascii="Times New Roman" w:hAnsi="Times New Roman" w:cs="Times New Roman"/>
          <w:sz w:val="24"/>
          <w:szCs w:val="24"/>
        </w:rPr>
        <w:t>fifty-</w:t>
      </w:r>
      <w:r w:rsidR="00491FB4" w:rsidRPr="00527F2A">
        <w:rPr>
          <w:rFonts w:ascii="Times New Roman" w:hAnsi="Times New Roman" w:cs="Times New Roman"/>
          <w:sz w:val="24"/>
          <w:szCs w:val="24"/>
        </w:rPr>
        <w:t>year lease</w:t>
      </w:r>
      <w:r w:rsidR="00CB6E4B">
        <w:rPr>
          <w:rFonts w:ascii="Times New Roman" w:hAnsi="Times New Roman" w:cs="Times New Roman"/>
          <w:sz w:val="24"/>
          <w:szCs w:val="24"/>
        </w:rPr>
        <w:t>,</w:t>
      </w:r>
      <w:r w:rsidR="00491FB4" w:rsidRPr="00527F2A">
        <w:rPr>
          <w:rFonts w:ascii="Times New Roman" w:hAnsi="Times New Roman" w:cs="Times New Roman"/>
          <w:sz w:val="24"/>
          <w:szCs w:val="24"/>
        </w:rPr>
        <w:t xml:space="preserve"> the port agreed to split the costs of </w:t>
      </w:r>
      <w:r w:rsidR="00CB6E4B">
        <w:rPr>
          <w:rFonts w:ascii="Times New Roman" w:hAnsi="Times New Roman" w:cs="Times New Roman"/>
          <w:sz w:val="24"/>
          <w:szCs w:val="24"/>
        </w:rPr>
        <w:t xml:space="preserve">remediating </w:t>
      </w:r>
      <w:r w:rsidR="00491FB4" w:rsidRPr="00527F2A">
        <w:rPr>
          <w:rFonts w:ascii="Times New Roman" w:hAnsi="Times New Roman" w:cs="Times New Roman"/>
          <w:sz w:val="24"/>
          <w:szCs w:val="24"/>
        </w:rPr>
        <w:t xml:space="preserve">environmental contamination with the tenant 50/50. Most of the ports </w:t>
      </w:r>
      <w:r w:rsidR="00B157C6" w:rsidRPr="00527F2A">
        <w:rPr>
          <w:rFonts w:ascii="Times New Roman" w:hAnsi="Times New Roman" w:cs="Times New Roman"/>
          <w:sz w:val="24"/>
          <w:szCs w:val="24"/>
        </w:rPr>
        <w:t>surveyed</w:t>
      </w:r>
      <w:r w:rsidR="00491FB4" w:rsidRPr="00527F2A">
        <w:rPr>
          <w:rFonts w:ascii="Times New Roman" w:hAnsi="Times New Roman" w:cs="Times New Roman"/>
          <w:sz w:val="24"/>
          <w:szCs w:val="24"/>
        </w:rPr>
        <w:t xml:space="preserve"> also take responsibility for any pre-existing conditions unless they are agreed upon in the policy</w:t>
      </w:r>
      <w:r w:rsidR="00F7543E">
        <w:rPr>
          <w:rFonts w:ascii="Times New Roman" w:hAnsi="Times New Roman" w:cs="Times New Roman"/>
          <w:sz w:val="24"/>
          <w:szCs w:val="24"/>
        </w:rPr>
        <w:t xml:space="preserve"> </w:t>
      </w:r>
      <w:r w:rsidR="00CB6E4B">
        <w:rPr>
          <w:rFonts w:ascii="Times New Roman" w:hAnsi="Times New Roman" w:cs="Times New Roman"/>
          <w:sz w:val="24"/>
          <w:szCs w:val="24"/>
        </w:rPr>
        <w:t xml:space="preserve">or </w:t>
      </w:r>
      <w:r w:rsidR="00F7543E">
        <w:rPr>
          <w:rFonts w:ascii="Times New Roman" w:hAnsi="Times New Roman" w:cs="Times New Roman"/>
          <w:sz w:val="24"/>
          <w:szCs w:val="24"/>
        </w:rPr>
        <w:t xml:space="preserve">codified in </w:t>
      </w:r>
      <w:r w:rsidR="00CB6E4B">
        <w:rPr>
          <w:rFonts w:ascii="Times New Roman" w:hAnsi="Times New Roman" w:cs="Times New Roman"/>
          <w:sz w:val="24"/>
          <w:szCs w:val="24"/>
        </w:rPr>
        <w:t>the lease</w:t>
      </w:r>
      <w:r w:rsidR="00491FB4" w:rsidRPr="00527F2A">
        <w:rPr>
          <w:rFonts w:ascii="Times New Roman" w:hAnsi="Times New Roman" w:cs="Times New Roman"/>
          <w:sz w:val="24"/>
          <w:szCs w:val="24"/>
        </w:rPr>
        <w:t xml:space="preserve">. </w:t>
      </w:r>
    </w:p>
    <w:p w:rsidR="00C9023B" w:rsidRPr="00C9023B" w:rsidRDefault="00F7543E" w:rsidP="00D264CE">
      <w:pPr>
        <w:ind w:left="360"/>
        <w:rPr>
          <w:color w:val="D90B00"/>
        </w:rPr>
      </w:pPr>
      <w:r w:rsidRPr="007669AE">
        <w:rPr>
          <w:rFonts w:ascii="Times New Roman" w:hAnsi="Times New Roman" w:cs="Times New Roman"/>
          <w:sz w:val="24"/>
          <w:szCs w:val="24"/>
          <w:u w:val="single"/>
        </w:rPr>
        <w:t>Business Incentives</w:t>
      </w:r>
      <w:r>
        <w:rPr>
          <w:rFonts w:ascii="Times New Roman" w:hAnsi="Times New Roman" w:cs="Times New Roman"/>
          <w:sz w:val="24"/>
          <w:szCs w:val="24"/>
        </w:rPr>
        <w:t xml:space="preserve">: </w:t>
      </w:r>
      <w:r w:rsidR="00A921C0" w:rsidRPr="00527F2A">
        <w:rPr>
          <w:rFonts w:ascii="Times New Roman" w:hAnsi="Times New Roman" w:cs="Times New Roman"/>
          <w:sz w:val="24"/>
          <w:szCs w:val="24"/>
        </w:rPr>
        <w:t xml:space="preserve">Most ports </w:t>
      </w:r>
      <w:r w:rsidR="008903DC">
        <w:rPr>
          <w:rFonts w:ascii="Times New Roman" w:hAnsi="Times New Roman" w:cs="Times New Roman"/>
          <w:sz w:val="24"/>
          <w:szCs w:val="24"/>
        </w:rPr>
        <w:t>reported</w:t>
      </w:r>
      <w:r w:rsidR="00A921C0" w:rsidRPr="00527F2A">
        <w:rPr>
          <w:rFonts w:ascii="Times New Roman" w:hAnsi="Times New Roman" w:cs="Times New Roman"/>
          <w:sz w:val="24"/>
          <w:szCs w:val="24"/>
        </w:rPr>
        <w:t xml:space="preserve"> they do not</w:t>
      </w:r>
      <w:r w:rsidR="008903DC">
        <w:rPr>
          <w:rFonts w:ascii="Times New Roman" w:hAnsi="Times New Roman" w:cs="Times New Roman"/>
          <w:sz w:val="24"/>
          <w:szCs w:val="24"/>
        </w:rPr>
        <w:t xml:space="preserve"> employ</w:t>
      </w:r>
      <w:r w:rsidR="00A921C0" w:rsidRPr="00527F2A">
        <w:rPr>
          <w:rFonts w:ascii="Times New Roman" w:hAnsi="Times New Roman" w:cs="Times New Roman"/>
          <w:sz w:val="24"/>
          <w:szCs w:val="24"/>
        </w:rPr>
        <w:t xml:space="preserve"> standard provisions for incentivizing business or </w:t>
      </w:r>
      <w:r w:rsidRPr="00527F2A">
        <w:rPr>
          <w:rFonts w:ascii="Times New Roman" w:hAnsi="Times New Roman" w:cs="Times New Roman"/>
          <w:sz w:val="24"/>
          <w:szCs w:val="24"/>
        </w:rPr>
        <w:t>performance</w:t>
      </w:r>
      <w:r>
        <w:rPr>
          <w:rFonts w:ascii="Times New Roman" w:hAnsi="Times New Roman" w:cs="Times New Roman"/>
          <w:sz w:val="24"/>
          <w:szCs w:val="24"/>
        </w:rPr>
        <w:t>;</w:t>
      </w:r>
      <w:r w:rsidR="00ED2A80">
        <w:rPr>
          <w:rFonts w:ascii="Times New Roman" w:hAnsi="Times New Roman" w:cs="Times New Roman"/>
          <w:sz w:val="24"/>
          <w:szCs w:val="24"/>
        </w:rPr>
        <w:t xml:space="preserve"> however</w:t>
      </w:r>
      <w:r w:rsidR="008903DC">
        <w:rPr>
          <w:rFonts w:ascii="Times New Roman" w:hAnsi="Times New Roman" w:cs="Times New Roman"/>
          <w:sz w:val="24"/>
          <w:szCs w:val="24"/>
        </w:rPr>
        <w:t>,</w:t>
      </w:r>
      <w:r w:rsidR="00A921C0" w:rsidRPr="00527F2A">
        <w:rPr>
          <w:rFonts w:ascii="Times New Roman" w:hAnsi="Times New Roman" w:cs="Times New Roman"/>
          <w:sz w:val="24"/>
          <w:szCs w:val="24"/>
        </w:rPr>
        <w:t xml:space="preserve"> the ports did point out certain provisions by their nature help to incentivize business or performance. </w:t>
      </w:r>
      <w:r>
        <w:rPr>
          <w:rFonts w:ascii="Times New Roman" w:hAnsi="Times New Roman" w:cs="Times New Roman"/>
          <w:sz w:val="24"/>
          <w:szCs w:val="24"/>
        </w:rPr>
        <w:t>For example, several respondents</w:t>
      </w:r>
      <w:r w:rsidR="00ED2A80">
        <w:rPr>
          <w:rFonts w:ascii="Times New Roman" w:hAnsi="Times New Roman" w:cs="Times New Roman"/>
          <w:sz w:val="24"/>
          <w:szCs w:val="24"/>
        </w:rPr>
        <w:t xml:space="preserve"> permit </w:t>
      </w:r>
      <w:r w:rsidR="00ED2A80" w:rsidRPr="00527F2A">
        <w:rPr>
          <w:rFonts w:ascii="Times New Roman" w:hAnsi="Times New Roman" w:cs="Times New Roman"/>
          <w:sz w:val="24"/>
          <w:szCs w:val="24"/>
        </w:rPr>
        <w:t>tenants to reinvest in their leasehold</w:t>
      </w:r>
      <w:r>
        <w:rPr>
          <w:rFonts w:ascii="Times New Roman" w:hAnsi="Times New Roman" w:cs="Times New Roman"/>
          <w:sz w:val="24"/>
          <w:szCs w:val="24"/>
        </w:rPr>
        <w:t xml:space="preserve"> </w:t>
      </w:r>
      <w:r w:rsidR="007669AE">
        <w:rPr>
          <w:rFonts w:ascii="Times New Roman" w:hAnsi="Times New Roman" w:cs="Times New Roman"/>
          <w:sz w:val="24"/>
          <w:szCs w:val="24"/>
        </w:rPr>
        <w:t>improvements</w:t>
      </w:r>
      <w:r w:rsidR="007669AE" w:rsidRPr="00527F2A">
        <w:rPr>
          <w:rFonts w:ascii="Times New Roman" w:hAnsi="Times New Roman" w:cs="Times New Roman"/>
          <w:sz w:val="24"/>
          <w:szCs w:val="24"/>
        </w:rPr>
        <w:t xml:space="preserve"> in</w:t>
      </w:r>
      <w:r w:rsidR="00ED2A80" w:rsidRPr="00527F2A">
        <w:rPr>
          <w:rFonts w:ascii="Times New Roman" w:hAnsi="Times New Roman" w:cs="Times New Roman"/>
          <w:sz w:val="24"/>
          <w:szCs w:val="24"/>
        </w:rPr>
        <w:t xml:space="preserve"> exchange for </w:t>
      </w:r>
      <w:r>
        <w:rPr>
          <w:rFonts w:ascii="Times New Roman" w:hAnsi="Times New Roman" w:cs="Times New Roman"/>
          <w:sz w:val="24"/>
          <w:szCs w:val="24"/>
        </w:rPr>
        <w:t xml:space="preserve">a favorable lease </w:t>
      </w:r>
      <w:r>
        <w:rPr>
          <w:rFonts w:ascii="Times New Roman" w:hAnsi="Times New Roman" w:cs="Times New Roman"/>
          <w:sz w:val="24"/>
          <w:szCs w:val="24"/>
        </w:rPr>
        <w:lastRenderedPageBreak/>
        <w:t xml:space="preserve">provision such as </w:t>
      </w:r>
      <w:r w:rsidR="00ED2A80" w:rsidRPr="00527F2A">
        <w:rPr>
          <w:rFonts w:ascii="Times New Roman" w:hAnsi="Times New Roman" w:cs="Times New Roman"/>
          <w:sz w:val="24"/>
          <w:szCs w:val="24"/>
        </w:rPr>
        <w:t>an extended lease term</w:t>
      </w:r>
      <w:r>
        <w:rPr>
          <w:rFonts w:ascii="Times New Roman" w:hAnsi="Times New Roman" w:cs="Times New Roman"/>
          <w:sz w:val="24"/>
          <w:szCs w:val="24"/>
        </w:rPr>
        <w:t xml:space="preserve"> at a more favorable rate</w:t>
      </w:r>
      <w:r w:rsidR="00ED2A80" w:rsidRPr="00527F2A">
        <w:rPr>
          <w:rFonts w:ascii="Times New Roman" w:hAnsi="Times New Roman" w:cs="Times New Roman"/>
          <w:sz w:val="24"/>
          <w:szCs w:val="24"/>
        </w:rPr>
        <w:t xml:space="preserve">, </w:t>
      </w:r>
      <w:r>
        <w:rPr>
          <w:rFonts w:ascii="Times New Roman" w:hAnsi="Times New Roman" w:cs="Times New Roman"/>
          <w:sz w:val="24"/>
          <w:szCs w:val="24"/>
        </w:rPr>
        <w:t>free rent, or changing income calculations (</w:t>
      </w:r>
      <w:r w:rsidR="007669AE">
        <w:rPr>
          <w:rFonts w:ascii="Times New Roman" w:hAnsi="Times New Roman" w:cs="Times New Roman"/>
          <w:sz w:val="24"/>
          <w:szCs w:val="24"/>
        </w:rPr>
        <w:t>i.e.</w:t>
      </w:r>
      <w:r w:rsidR="007669AE" w:rsidRPr="00527F2A">
        <w:rPr>
          <w:rFonts w:ascii="Times New Roman" w:hAnsi="Times New Roman" w:cs="Times New Roman"/>
          <w:sz w:val="24"/>
          <w:szCs w:val="24"/>
        </w:rPr>
        <w:t xml:space="preserve"> Charging</w:t>
      </w:r>
      <w:r w:rsidR="00ED2A80" w:rsidRPr="00527F2A">
        <w:rPr>
          <w:rFonts w:ascii="Times New Roman" w:hAnsi="Times New Roman" w:cs="Times New Roman"/>
          <w:sz w:val="24"/>
          <w:szCs w:val="24"/>
        </w:rPr>
        <w:t xml:space="preserve"> a lower per-TEU rate for </w:t>
      </w:r>
      <w:r w:rsidR="00ED2A80">
        <w:rPr>
          <w:rFonts w:ascii="Times New Roman" w:hAnsi="Times New Roman" w:cs="Times New Roman"/>
          <w:sz w:val="24"/>
          <w:szCs w:val="24"/>
        </w:rPr>
        <w:t>cargo volumes</w:t>
      </w:r>
      <w:r w:rsidR="00ED2A80" w:rsidRPr="00527F2A">
        <w:rPr>
          <w:rFonts w:ascii="Times New Roman" w:hAnsi="Times New Roman" w:cs="Times New Roman"/>
          <w:sz w:val="24"/>
          <w:szCs w:val="24"/>
        </w:rPr>
        <w:t xml:space="preserve"> above the minimum annual guarantee</w:t>
      </w:r>
      <w:r w:rsidR="00ED2A80">
        <w:rPr>
          <w:rFonts w:ascii="Times New Roman" w:hAnsi="Times New Roman" w:cs="Times New Roman"/>
          <w:sz w:val="24"/>
          <w:szCs w:val="24"/>
        </w:rPr>
        <w:t xml:space="preserve"> or </w:t>
      </w:r>
      <w:r w:rsidR="00ED2A80" w:rsidRPr="00527F2A">
        <w:rPr>
          <w:rFonts w:ascii="Times New Roman" w:hAnsi="Times New Roman" w:cs="Times New Roman"/>
          <w:sz w:val="24"/>
          <w:szCs w:val="24"/>
        </w:rPr>
        <w:t xml:space="preserve">reducing the per-TEU rate if certain performance standards are </w:t>
      </w:r>
      <w:r w:rsidR="00D264CE" w:rsidRPr="00527F2A">
        <w:rPr>
          <w:rFonts w:ascii="Times New Roman" w:hAnsi="Times New Roman" w:cs="Times New Roman"/>
          <w:sz w:val="24"/>
          <w:szCs w:val="24"/>
        </w:rPr>
        <w:t>met</w:t>
      </w:r>
      <w:r>
        <w:rPr>
          <w:rFonts w:ascii="Times New Roman" w:hAnsi="Times New Roman" w:cs="Times New Roman"/>
          <w:sz w:val="24"/>
          <w:szCs w:val="24"/>
        </w:rPr>
        <w:t>)</w:t>
      </w:r>
      <w:r w:rsidR="00D264CE" w:rsidRPr="00527F2A">
        <w:rPr>
          <w:rFonts w:ascii="Times New Roman" w:hAnsi="Times New Roman" w:cs="Times New Roman"/>
          <w:sz w:val="24"/>
          <w:szCs w:val="24"/>
        </w:rPr>
        <w:t>.</w:t>
      </w:r>
      <w:r w:rsidR="00D264CE" w:rsidRPr="00D264CE">
        <w:rPr>
          <w:rFonts w:ascii="Times New Roman" w:hAnsi="Times New Roman" w:cs="Times New Roman"/>
          <w:sz w:val="24"/>
          <w:szCs w:val="24"/>
        </w:rPr>
        <w:t xml:space="preserve"> One</w:t>
      </w:r>
      <w:r w:rsidR="00527F2A" w:rsidRPr="00D264CE">
        <w:rPr>
          <w:rFonts w:ascii="Times New Roman" w:hAnsi="Times New Roman" w:cs="Times New Roman"/>
          <w:sz w:val="24"/>
          <w:szCs w:val="24"/>
        </w:rPr>
        <w:t xml:space="preserve"> port </w:t>
      </w:r>
      <w:r w:rsidR="00ED2A80" w:rsidRPr="00D264CE">
        <w:rPr>
          <w:rFonts w:ascii="Times New Roman" w:hAnsi="Times New Roman" w:cs="Times New Roman"/>
          <w:sz w:val="24"/>
          <w:szCs w:val="24"/>
        </w:rPr>
        <w:t>stated they</w:t>
      </w:r>
      <w:r w:rsidR="00527F2A" w:rsidRPr="00D264CE">
        <w:rPr>
          <w:rFonts w:ascii="Times New Roman" w:hAnsi="Times New Roman" w:cs="Times New Roman"/>
          <w:sz w:val="24"/>
          <w:szCs w:val="24"/>
        </w:rPr>
        <w:t xml:space="preserve"> incentivize business by allowing registered </w:t>
      </w:r>
      <w:r w:rsidR="00A31C3F" w:rsidRPr="00D264CE">
        <w:rPr>
          <w:rFonts w:ascii="Times New Roman" w:hAnsi="Times New Roman" w:cs="Times New Roman"/>
          <w:sz w:val="24"/>
          <w:szCs w:val="24"/>
        </w:rPr>
        <w:t>VSA,</w:t>
      </w:r>
      <w:r w:rsidR="00C9023B" w:rsidRPr="00D264CE">
        <w:rPr>
          <w:rStyle w:val="CommentReference"/>
          <w:rFonts w:ascii="Times New Roman" w:hAnsi="Times New Roman" w:cs="Times New Roman"/>
          <w:sz w:val="24"/>
          <w:szCs w:val="24"/>
        </w:rPr>
        <w:t xml:space="preserve"> </w:t>
      </w:r>
      <w:r w:rsidR="00C9023B" w:rsidRPr="00D264CE">
        <w:rPr>
          <w:rFonts w:ascii="Times New Roman" w:hAnsi="Times New Roman" w:cs="Times New Roman"/>
          <w:sz w:val="24"/>
          <w:szCs w:val="24"/>
        </w:rPr>
        <w:t>p</w:t>
      </w:r>
      <w:r w:rsidR="00527F2A" w:rsidRPr="00D264CE">
        <w:rPr>
          <w:rFonts w:ascii="Times New Roman" w:hAnsi="Times New Roman" w:cs="Times New Roman"/>
          <w:sz w:val="24"/>
          <w:szCs w:val="24"/>
        </w:rPr>
        <w:t>artners to take advantage of negotiated leaseholder rates as opposed to full tariff rates</w:t>
      </w:r>
      <w:r w:rsidR="007669AE">
        <w:rPr>
          <w:rFonts w:ascii="Times New Roman" w:hAnsi="Times New Roman" w:cs="Times New Roman"/>
          <w:sz w:val="24"/>
          <w:szCs w:val="24"/>
        </w:rPr>
        <w:t>. They</w:t>
      </w:r>
      <w:r w:rsidR="007669AE" w:rsidRPr="00D264CE">
        <w:rPr>
          <w:rFonts w:ascii="Times New Roman" w:hAnsi="Times New Roman" w:cs="Times New Roman"/>
          <w:sz w:val="24"/>
          <w:szCs w:val="24"/>
        </w:rPr>
        <w:t xml:space="preserve"> also</w:t>
      </w:r>
      <w:r w:rsidR="00A31C3F" w:rsidRPr="00D264CE">
        <w:rPr>
          <w:rFonts w:ascii="Times New Roman" w:hAnsi="Times New Roman" w:cs="Times New Roman"/>
          <w:sz w:val="24"/>
          <w:szCs w:val="24"/>
        </w:rPr>
        <w:t xml:space="preserve"> </w:t>
      </w:r>
      <w:r w:rsidR="00527F2A" w:rsidRPr="00D264CE">
        <w:rPr>
          <w:rFonts w:ascii="Times New Roman" w:hAnsi="Times New Roman" w:cs="Times New Roman"/>
          <w:sz w:val="24"/>
          <w:szCs w:val="24"/>
        </w:rPr>
        <w:t>offer Tariff incentives for container terminal lines with more than 100,000 tons of cargo throughput as well as for the introduction of new services for cruise</w:t>
      </w:r>
      <w:r w:rsidR="00CF6D89" w:rsidRPr="00D264CE">
        <w:rPr>
          <w:rFonts w:ascii="Times New Roman" w:hAnsi="Times New Roman" w:cs="Times New Roman"/>
          <w:sz w:val="24"/>
          <w:szCs w:val="24"/>
        </w:rPr>
        <w:t xml:space="preserve"> tenants</w:t>
      </w:r>
      <w:r w:rsidR="007669AE">
        <w:rPr>
          <w:rFonts w:ascii="Times New Roman" w:hAnsi="Times New Roman" w:cs="Times New Roman"/>
          <w:sz w:val="24"/>
          <w:szCs w:val="24"/>
        </w:rPr>
        <w:t>.</w:t>
      </w:r>
      <w:r w:rsidR="00A31C3F" w:rsidRPr="00D264CE">
        <w:rPr>
          <w:rFonts w:ascii="Times New Roman" w:hAnsi="Times New Roman" w:cs="Times New Roman"/>
          <w:sz w:val="24"/>
          <w:szCs w:val="24"/>
        </w:rPr>
        <w:t xml:space="preserve"> </w:t>
      </w:r>
      <w:r w:rsidR="00C9023B" w:rsidRPr="00D264CE">
        <w:rPr>
          <w:rFonts w:ascii="Times New Roman" w:hAnsi="Times New Roman" w:cs="Times New Roman"/>
          <w:sz w:val="24"/>
          <w:szCs w:val="24"/>
        </w:rPr>
        <w:t xml:space="preserve">MAGs are </w:t>
      </w:r>
      <w:r w:rsidR="007669AE" w:rsidRPr="00D264CE">
        <w:rPr>
          <w:rFonts w:ascii="Times New Roman" w:hAnsi="Times New Roman" w:cs="Times New Roman"/>
          <w:sz w:val="24"/>
          <w:szCs w:val="24"/>
        </w:rPr>
        <w:t>reached;</w:t>
      </w:r>
      <w:r w:rsidR="00C9023B" w:rsidRPr="00D264CE">
        <w:rPr>
          <w:rFonts w:ascii="Times New Roman" w:hAnsi="Times New Roman" w:cs="Times New Roman"/>
          <w:sz w:val="24"/>
          <w:szCs w:val="24"/>
        </w:rPr>
        <w:t xml:space="preserve"> incremental revenue is ceded to the cruise lines, meaning their per-passenger margins scale up immediately once minimum commitments are reached</w:t>
      </w:r>
    </w:p>
    <w:p w:rsidR="00C9023B" w:rsidRDefault="00C9023B" w:rsidP="007669AE">
      <w:pPr>
        <w:rPr>
          <w:rFonts w:ascii="Times New Roman" w:hAnsi="Times New Roman" w:cs="Times New Roman"/>
          <w:sz w:val="24"/>
          <w:szCs w:val="24"/>
        </w:rPr>
      </w:pPr>
    </w:p>
    <w:p w:rsidR="00527F2A" w:rsidRPr="00C9023B" w:rsidRDefault="00C9023B" w:rsidP="00491FB4">
      <w:pPr>
        <w:ind w:left="360"/>
        <w:rPr>
          <w:rFonts w:ascii="Times New Roman" w:hAnsi="Times New Roman" w:cs="Times New Roman"/>
          <w:sz w:val="24"/>
          <w:szCs w:val="24"/>
        </w:rPr>
      </w:pPr>
      <w:r w:rsidRPr="00C9023B">
        <w:rPr>
          <w:rFonts w:ascii="Times New Roman" w:hAnsi="Times New Roman" w:cs="Times New Roman"/>
          <w:sz w:val="24"/>
          <w:szCs w:val="24"/>
        </w:rPr>
        <w:t xml:space="preserve"> </w:t>
      </w:r>
      <w:r w:rsidR="00B86E69">
        <w:rPr>
          <w:rFonts w:ascii="Times New Roman" w:hAnsi="Times New Roman" w:cs="Times New Roman"/>
          <w:sz w:val="24"/>
          <w:szCs w:val="24"/>
        </w:rPr>
        <w:t>Another</w:t>
      </w:r>
      <w:r w:rsidR="00B86E69" w:rsidRPr="00C9023B">
        <w:rPr>
          <w:rFonts w:ascii="Times New Roman" w:hAnsi="Times New Roman" w:cs="Times New Roman"/>
          <w:sz w:val="24"/>
          <w:szCs w:val="24"/>
        </w:rPr>
        <w:t xml:space="preserve"> </w:t>
      </w:r>
      <w:r w:rsidRPr="00C9023B">
        <w:rPr>
          <w:rFonts w:ascii="Times New Roman" w:hAnsi="Times New Roman" w:cs="Times New Roman"/>
          <w:sz w:val="24"/>
          <w:szCs w:val="24"/>
        </w:rPr>
        <w:t>incentive that can be offered to new tenants is a Minimum Annual Agreement</w:t>
      </w:r>
      <w:r w:rsidR="00107BBA">
        <w:rPr>
          <w:rFonts w:ascii="Times New Roman" w:hAnsi="Times New Roman" w:cs="Times New Roman"/>
          <w:sz w:val="24"/>
          <w:szCs w:val="24"/>
        </w:rPr>
        <w:t xml:space="preserve"> (MAA)</w:t>
      </w:r>
      <w:r w:rsidR="00B86E69">
        <w:rPr>
          <w:rFonts w:ascii="Times New Roman" w:hAnsi="Times New Roman" w:cs="Times New Roman"/>
          <w:sz w:val="24"/>
          <w:szCs w:val="24"/>
        </w:rPr>
        <w:t>.</w:t>
      </w:r>
      <w:r w:rsidRPr="00C9023B">
        <w:rPr>
          <w:rFonts w:ascii="Times New Roman" w:hAnsi="Times New Roman" w:cs="Times New Roman"/>
          <w:sz w:val="24"/>
          <w:szCs w:val="24"/>
        </w:rPr>
        <w:t xml:space="preserve"> </w:t>
      </w:r>
      <w:r w:rsidR="00107BBA">
        <w:rPr>
          <w:rFonts w:ascii="Times New Roman" w:hAnsi="Times New Roman" w:cs="Times New Roman"/>
          <w:sz w:val="24"/>
          <w:szCs w:val="24"/>
        </w:rPr>
        <w:t>I</w:t>
      </w:r>
      <w:r w:rsidRPr="00C9023B">
        <w:rPr>
          <w:rFonts w:ascii="Times New Roman" w:hAnsi="Times New Roman" w:cs="Times New Roman"/>
          <w:sz w:val="24"/>
          <w:szCs w:val="24"/>
        </w:rPr>
        <w:t>n the</w:t>
      </w:r>
      <w:r w:rsidR="00107BBA">
        <w:rPr>
          <w:rFonts w:ascii="Times New Roman" w:hAnsi="Times New Roman" w:cs="Times New Roman"/>
          <w:sz w:val="24"/>
          <w:szCs w:val="24"/>
        </w:rPr>
        <w:t xml:space="preserve"> lease </w:t>
      </w:r>
      <w:r w:rsidRPr="00C9023B">
        <w:rPr>
          <w:rFonts w:ascii="Times New Roman" w:hAnsi="Times New Roman" w:cs="Times New Roman"/>
          <w:sz w:val="24"/>
          <w:szCs w:val="24"/>
        </w:rPr>
        <w:t xml:space="preserve">agreement the tenant and port specific </w:t>
      </w:r>
      <w:r w:rsidR="00107BBA">
        <w:rPr>
          <w:rFonts w:ascii="Times New Roman" w:hAnsi="Times New Roman" w:cs="Times New Roman"/>
          <w:sz w:val="24"/>
          <w:szCs w:val="24"/>
        </w:rPr>
        <w:t xml:space="preserve">a MAA </w:t>
      </w:r>
      <w:r w:rsidRPr="00C9023B">
        <w:rPr>
          <w:rFonts w:ascii="Times New Roman" w:hAnsi="Times New Roman" w:cs="Times New Roman"/>
          <w:sz w:val="24"/>
          <w:szCs w:val="24"/>
        </w:rPr>
        <w:t xml:space="preserve">revenue the port expects to receive, </w:t>
      </w:r>
      <w:r w:rsidR="00527F2A" w:rsidRPr="00C9023B">
        <w:rPr>
          <w:rFonts w:ascii="Times New Roman" w:hAnsi="Times New Roman" w:cs="Times New Roman"/>
          <w:sz w:val="24"/>
          <w:szCs w:val="24"/>
        </w:rPr>
        <w:t>once passenger/revenue M</w:t>
      </w:r>
      <w:r w:rsidR="000B220C" w:rsidRPr="00C9023B">
        <w:rPr>
          <w:rFonts w:ascii="Times New Roman" w:hAnsi="Times New Roman" w:cs="Times New Roman"/>
          <w:sz w:val="24"/>
          <w:szCs w:val="24"/>
        </w:rPr>
        <w:t xml:space="preserve">inimum </w:t>
      </w:r>
      <w:r w:rsidR="00527F2A" w:rsidRPr="00C9023B">
        <w:rPr>
          <w:rFonts w:ascii="Times New Roman" w:hAnsi="Times New Roman" w:cs="Times New Roman"/>
          <w:sz w:val="24"/>
          <w:szCs w:val="24"/>
        </w:rPr>
        <w:t>A</w:t>
      </w:r>
      <w:r w:rsidR="000B220C" w:rsidRPr="00C9023B">
        <w:rPr>
          <w:rFonts w:ascii="Times New Roman" w:hAnsi="Times New Roman" w:cs="Times New Roman"/>
          <w:sz w:val="24"/>
          <w:szCs w:val="24"/>
        </w:rPr>
        <w:t>nnual A</w:t>
      </w:r>
      <w:r w:rsidR="00791D53" w:rsidRPr="00C9023B">
        <w:rPr>
          <w:rFonts w:ascii="Times New Roman" w:hAnsi="Times New Roman" w:cs="Times New Roman"/>
          <w:sz w:val="24"/>
          <w:szCs w:val="24"/>
        </w:rPr>
        <w:t>g</w:t>
      </w:r>
      <w:r w:rsidR="000B220C" w:rsidRPr="00C9023B">
        <w:rPr>
          <w:rFonts w:ascii="Times New Roman" w:hAnsi="Times New Roman" w:cs="Times New Roman"/>
          <w:sz w:val="24"/>
          <w:szCs w:val="24"/>
        </w:rPr>
        <w:t>reement</w:t>
      </w:r>
      <w:r w:rsidR="00527F2A" w:rsidRPr="00C9023B">
        <w:rPr>
          <w:rFonts w:ascii="Times New Roman" w:hAnsi="Times New Roman" w:cs="Times New Roman"/>
          <w:sz w:val="24"/>
          <w:szCs w:val="24"/>
        </w:rPr>
        <w:t>s are reached</w:t>
      </w:r>
      <w:r w:rsidR="00107BBA">
        <w:rPr>
          <w:rFonts w:ascii="Times New Roman" w:hAnsi="Times New Roman" w:cs="Times New Roman"/>
          <w:sz w:val="24"/>
          <w:szCs w:val="24"/>
        </w:rPr>
        <w:t>, after which all</w:t>
      </w:r>
      <w:r w:rsidR="00527F2A" w:rsidRPr="00C9023B">
        <w:rPr>
          <w:rFonts w:ascii="Times New Roman" w:hAnsi="Times New Roman" w:cs="Times New Roman"/>
          <w:sz w:val="24"/>
          <w:szCs w:val="24"/>
        </w:rPr>
        <w:t xml:space="preserve"> incremental revenue is ceded to the </w:t>
      </w:r>
      <w:r w:rsidR="00107BBA">
        <w:rPr>
          <w:rFonts w:ascii="Times New Roman" w:hAnsi="Times New Roman" w:cs="Times New Roman"/>
          <w:sz w:val="24"/>
          <w:szCs w:val="24"/>
        </w:rPr>
        <w:t xml:space="preserve">tenant. This is often done in the case of </w:t>
      </w:r>
      <w:r w:rsidR="00527F2A" w:rsidRPr="00C9023B">
        <w:rPr>
          <w:rFonts w:ascii="Times New Roman" w:hAnsi="Times New Roman" w:cs="Times New Roman"/>
          <w:sz w:val="24"/>
          <w:szCs w:val="24"/>
        </w:rPr>
        <w:t>cruise lines,</w:t>
      </w:r>
      <w:r w:rsidR="00107BBA">
        <w:rPr>
          <w:rFonts w:ascii="Times New Roman" w:hAnsi="Times New Roman" w:cs="Times New Roman"/>
          <w:sz w:val="24"/>
          <w:szCs w:val="24"/>
        </w:rPr>
        <w:t xml:space="preserve"> and allows</w:t>
      </w:r>
      <w:r w:rsidR="00527F2A" w:rsidRPr="00C9023B">
        <w:rPr>
          <w:rFonts w:ascii="Times New Roman" w:hAnsi="Times New Roman" w:cs="Times New Roman"/>
          <w:sz w:val="24"/>
          <w:szCs w:val="24"/>
        </w:rPr>
        <w:t xml:space="preserve"> their per-passenger margins scale up immediately once minimum commitments are reached</w:t>
      </w:r>
      <w:r w:rsidR="00107BBA">
        <w:rPr>
          <w:rFonts w:ascii="Times New Roman" w:hAnsi="Times New Roman" w:cs="Times New Roman"/>
          <w:sz w:val="24"/>
          <w:szCs w:val="24"/>
        </w:rPr>
        <w:t>.</w:t>
      </w:r>
    </w:p>
    <w:p w:rsidR="00491FB4" w:rsidRPr="00527F2A" w:rsidRDefault="009A466E" w:rsidP="00491FB4">
      <w:pPr>
        <w:ind w:left="360"/>
        <w:rPr>
          <w:rFonts w:ascii="Times New Roman" w:hAnsi="Times New Roman" w:cs="Times New Roman"/>
          <w:sz w:val="24"/>
          <w:szCs w:val="24"/>
        </w:rPr>
      </w:pPr>
      <w:r w:rsidRPr="007669AE">
        <w:rPr>
          <w:rFonts w:ascii="Times New Roman" w:hAnsi="Times New Roman" w:cs="Times New Roman"/>
          <w:sz w:val="24"/>
          <w:szCs w:val="24"/>
          <w:u w:val="single"/>
        </w:rPr>
        <w:t>Trucking Considerations</w:t>
      </w:r>
      <w:r>
        <w:rPr>
          <w:rFonts w:ascii="Times New Roman" w:hAnsi="Times New Roman" w:cs="Times New Roman"/>
          <w:sz w:val="24"/>
          <w:szCs w:val="24"/>
        </w:rPr>
        <w:t xml:space="preserve">: </w:t>
      </w:r>
      <w:r w:rsidR="00476F13" w:rsidRPr="00C9023B">
        <w:rPr>
          <w:rFonts w:ascii="Times New Roman" w:hAnsi="Times New Roman" w:cs="Times New Roman"/>
          <w:sz w:val="24"/>
          <w:szCs w:val="24"/>
        </w:rPr>
        <w:t>The survey showed most ports currently do not p</w:t>
      </w:r>
      <w:r w:rsidR="00B157C6" w:rsidRPr="00C9023B">
        <w:rPr>
          <w:rFonts w:ascii="Times New Roman" w:hAnsi="Times New Roman" w:cs="Times New Roman"/>
          <w:sz w:val="24"/>
          <w:szCs w:val="24"/>
        </w:rPr>
        <w:t>rovid</w:t>
      </w:r>
      <w:r w:rsidR="00476F13" w:rsidRPr="00C9023B">
        <w:rPr>
          <w:rFonts w:ascii="Times New Roman" w:hAnsi="Times New Roman" w:cs="Times New Roman"/>
          <w:sz w:val="24"/>
          <w:szCs w:val="24"/>
        </w:rPr>
        <w:t>e</w:t>
      </w:r>
      <w:r w:rsidR="00B157C6" w:rsidRPr="00C9023B">
        <w:rPr>
          <w:rFonts w:ascii="Times New Roman" w:hAnsi="Times New Roman" w:cs="Times New Roman"/>
          <w:sz w:val="24"/>
          <w:szCs w:val="24"/>
        </w:rPr>
        <w:t xml:space="preserve"> facilities for the truckers </w:t>
      </w:r>
      <w:r w:rsidR="00476F13" w:rsidRPr="00C9023B">
        <w:rPr>
          <w:rFonts w:ascii="Times New Roman" w:hAnsi="Times New Roman" w:cs="Times New Roman"/>
          <w:sz w:val="24"/>
          <w:szCs w:val="24"/>
        </w:rPr>
        <w:t xml:space="preserve">serving port terminals and businesses.  </w:t>
      </w:r>
      <w:r w:rsidR="00ED2A80" w:rsidRPr="00C9023B">
        <w:rPr>
          <w:rFonts w:ascii="Times New Roman" w:hAnsi="Times New Roman" w:cs="Times New Roman"/>
          <w:sz w:val="24"/>
          <w:szCs w:val="24"/>
        </w:rPr>
        <w:t>Such</w:t>
      </w:r>
      <w:r w:rsidR="00476F13" w:rsidRPr="00C9023B">
        <w:rPr>
          <w:rFonts w:ascii="Times New Roman" w:hAnsi="Times New Roman" w:cs="Times New Roman"/>
          <w:sz w:val="24"/>
          <w:szCs w:val="24"/>
        </w:rPr>
        <w:t xml:space="preserve"> services might include</w:t>
      </w:r>
      <w:r w:rsidR="00C9023B" w:rsidRPr="00C9023B">
        <w:rPr>
          <w:rFonts w:ascii="Times New Roman" w:hAnsi="Times New Roman" w:cs="Times New Roman"/>
          <w:sz w:val="24"/>
          <w:szCs w:val="24"/>
        </w:rPr>
        <w:t xml:space="preserve"> restrooms, </w:t>
      </w:r>
      <w:r w:rsidR="00781876">
        <w:rPr>
          <w:rFonts w:ascii="Times New Roman" w:hAnsi="Times New Roman" w:cs="Times New Roman"/>
          <w:sz w:val="24"/>
          <w:szCs w:val="24"/>
        </w:rPr>
        <w:t>c</w:t>
      </w:r>
      <w:r w:rsidR="00C9023B" w:rsidRPr="00C9023B">
        <w:rPr>
          <w:rFonts w:ascii="Times New Roman" w:hAnsi="Times New Roman" w:cs="Times New Roman"/>
          <w:sz w:val="24"/>
          <w:szCs w:val="24"/>
        </w:rPr>
        <w:t>ustomer services centers, dedicated truck queuing areas, virtual container and transload yards</w:t>
      </w:r>
      <w:r w:rsidR="00476F13" w:rsidRPr="00C9023B">
        <w:rPr>
          <w:rFonts w:ascii="Times New Roman" w:hAnsi="Times New Roman" w:cs="Times New Roman"/>
          <w:sz w:val="24"/>
          <w:szCs w:val="24"/>
        </w:rPr>
        <w:t>.</w:t>
      </w:r>
      <w:r w:rsidR="00A31C3F">
        <w:rPr>
          <w:rFonts w:ascii="Times New Roman" w:hAnsi="Times New Roman" w:cs="Times New Roman"/>
          <w:sz w:val="24"/>
          <w:szCs w:val="24"/>
        </w:rPr>
        <w:t xml:space="preserve"> </w:t>
      </w:r>
      <w:r w:rsidR="00B157C6" w:rsidRPr="00C9023B">
        <w:rPr>
          <w:rFonts w:ascii="Times New Roman" w:hAnsi="Times New Roman" w:cs="Times New Roman"/>
          <w:sz w:val="24"/>
          <w:szCs w:val="24"/>
        </w:rPr>
        <w:t xml:space="preserve">Most </w:t>
      </w:r>
      <w:r w:rsidR="00ED2A80" w:rsidRPr="00C9023B">
        <w:rPr>
          <w:rFonts w:ascii="Times New Roman" w:hAnsi="Times New Roman" w:cs="Times New Roman"/>
          <w:sz w:val="24"/>
          <w:szCs w:val="24"/>
        </w:rPr>
        <w:t>ports surveyed</w:t>
      </w:r>
      <w:r w:rsidR="00B157C6" w:rsidRPr="00C9023B">
        <w:rPr>
          <w:rFonts w:ascii="Times New Roman" w:hAnsi="Times New Roman" w:cs="Times New Roman"/>
          <w:sz w:val="24"/>
          <w:szCs w:val="24"/>
        </w:rPr>
        <w:t xml:space="preserve"> do not require the</w:t>
      </w:r>
      <w:r w:rsidR="00476F13" w:rsidRPr="00C9023B">
        <w:rPr>
          <w:rFonts w:ascii="Times New Roman" w:hAnsi="Times New Roman" w:cs="Times New Roman"/>
          <w:sz w:val="24"/>
          <w:szCs w:val="24"/>
        </w:rPr>
        <w:t>ir</w:t>
      </w:r>
      <w:r w:rsidR="00B157C6" w:rsidRPr="00C9023B">
        <w:rPr>
          <w:rFonts w:ascii="Times New Roman" w:hAnsi="Times New Roman" w:cs="Times New Roman"/>
          <w:sz w:val="24"/>
          <w:szCs w:val="24"/>
        </w:rPr>
        <w:t xml:space="preserve"> </w:t>
      </w:r>
      <w:r w:rsidR="00476F13" w:rsidRPr="00C9023B">
        <w:rPr>
          <w:rFonts w:ascii="Times New Roman" w:hAnsi="Times New Roman" w:cs="Times New Roman"/>
          <w:sz w:val="24"/>
          <w:szCs w:val="24"/>
        </w:rPr>
        <w:t xml:space="preserve">terminal operators </w:t>
      </w:r>
      <w:r w:rsidR="00B157C6" w:rsidRPr="00C9023B">
        <w:rPr>
          <w:rFonts w:ascii="Times New Roman" w:hAnsi="Times New Roman" w:cs="Times New Roman"/>
          <w:sz w:val="24"/>
          <w:szCs w:val="24"/>
        </w:rPr>
        <w:t>to provide facilities for the truckers within their</w:t>
      </w:r>
      <w:r w:rsidR="00B157C6" w:rsidRPr="00527F2A">
        <w:rPr>
          <w:rFonts w:ascii="Times New Roman" w:hAnsi="Times New Roman" w:cs="Times New Roman"/>
          <w:sz w:val="24"/>
          <w:szCs w:val="24"/>
        </w:rPr>
        <w:t xml:space="preserve"> terminal. One port surveyed </w:t>
      </w:r>
      <w:r w:rsidR="00476F13">
        <w:rPr>
          <w:rFonts w:ascii="Times New Roman" w:hAnsi="Times New Roman" w:cs="Times New Roman"/>
          <w:sz w:val="24"/>
          <w:szCs w:val="24"/>
        </w:rPr>
        <w:t xml:space="preserve">did </w:t>
      </w:r>
      <w:r w:rsidR="00B157C6" w:rsidRPr="00527F2A">
        <w:rPr>
          <w:rFonts w:ascii="Times New Roman" w:hAnsi="Times New Roman" w:cs="Times New Roman"/>
          <w:sz w:val="24"/>
          <w:szCs w:val="24"/>
        </w:rPr>
        <w:t xml:space="preserve">state that </w:t>
      </w:r>
      <w:r w:rsidR="00476F13">
        <w:rPr>
          <w:rFonts w:ascii="Times New Roman" w:hAnsi="Times New Roman" w:cs="Times New Roman"/>
          <w:sz w:val="24"/>
          <w:szCs w:val="24"/>
        </w:rPr>
        <w:t>their</w:t>
      </w:r>
      <w:r w:rsidR="00B157C6" w:rsidRPr="00527F2A">
        <w:rPr>
          <w:rFonts w:ascii="Times New Roman" w:hAnsi="Times New Roman" w:cs="Times New Roman"/>
          <w:sz w:val="24"/>
          <w:szCs w:val="24"/>
        </w:rPr>
        <w:t xml:space="preserve"> one terminal operator</w:t>
      </w:r>
      <w:r w:rsidR="00476F13">
        <w:rPr>
          <w:rFonts w:ascii="Times New Roman" w:hAnsi="Times New Roman" w:cs="Times New Roman"/>
          <w:sz w:val="24"/>
          <w:szCs w:val="24"/>
        </w:rPr>
        <w:t xml:space="preserve"> is responsible</w:t>
      </w:r>
      <w:r w:rsidR="00B157C6" w:rsidRPr="00527F2A">
        <w:rPr>
          <w:rFonts w:ascii="Times New Roman" w:hAnsi="Times New Roman" w:cs="Times New Roman"/>
          <w:sz w:val="24"/>
          <w:szCs w:val="24"/>
        </w:rPr>
        <w:t xml:space="preserve"> </w:t>
      </w:r>
      <w:r w:rsidR="00476F13">
        <w:rPr>
          <w:rFonts w:ascii="Times New Roman" w:hAnsi="Times New Roman" w:cs="Times New Roman"/>
          <w:sz w:val="24"/>
          <w:szCs w:val="24"/>
        </w:rPr>
        <w:t>for</w:t>
      </w:r>
      <w:r w:rsidR="00476F13" w:rsidRPr="00527F2A">
        <w:rPr>
          <w:rFonts w:ascii="Times New Roman" w:hAnsi="Times New Roman" w:cs="Times New Roman"/>
          <w:sz w:val="24"/>
          <w:szCs w:val="24"/>
        </w:rPr>
        <w:t xml:space="preserve"> </w:t>
      </w:r>
      <w:r w:rsidR="00B157C6" w:rsidRPr="00527F2A">
        <w:rPr>
          <w:rFonts w:ascii="Times New Roman" w:hAnsi="Times New Roman" w:cs="Times New Roman"/>
          <w:sz w:val="24"/>
          <w:szCs w:val="24"/>
        </w:rPr>
        <w:t>provid</w:t>
      </w:r>
      <w:r w:rsidR="00476F13">
        <w:rPr>
          <w:rFonts w:ascii="Times New Roman" w:hAnsi="Times New Roman" w:cs="Times New Roman"/>
          <w:sz w:val="24"/>
          <w:szCs w:val="24"/>
        </w:rPr>
        <w:t>ing</w:t>
      </w:r>
      <w:r w:rsidR="00B157C6" w:rsidRPr="00527F2A">
        <w:rPr>
          <w:rFonts w:ascii="Times New Roman" w:hAnsi="Times New Roman" w:cs="Times New Roman"/>
          <w:sz w:val="24"/>
          <w:szCs w:val="24"/>
        </w:rPr>
        <w:t xml:space="preserve"> </w:t>
      </w:r>
      <w:r w:rsidR="00476F13">
        <w:rPr>
          <w:rFonts w:ascii="Times New Roman" w:hAnsi="Times New Roman" w:cs="Times New Roman"/>
          <w:sz w:val="24"/>
          <w:szCs w:val="24"/>
        </w:rPr>
        <w:t xml:space="preserve">trucker </w:t>
      </w:r>
      <w:r w:rsidR="00B157C6" w:rsidRPr="00527F2A">
        <w:rPr>
          <w:rFonts w:ascii="Times New Roman" w:hAnsi="Times New Roman" w:cs="Times New Roman"/>
          <w:sz w:val="24"/>
          <w:szCs w:val="24"/>
        </w:rPr>
        <w:t>facilities</w:t>
      </w:r>
      <w:r w:rsidR="00476F13">
        <w:rPr>
          <w:rFonts w:ascii="Times New Roman" w:hAnsi="Times New Roman" w:cs="Times New Roman"/>
          <w:sz w:val="24"/>
          <w:szCs w:val="24"/>
        </w:rPr>
        <w:t xml:space="preserve">. </w:t>
      </w:r>
    </w:p>
    <w:p w:rsidR="00A37CD4" w:rsidRDefault="00ED2A80" w:rsidP="00A1128C">
      <w:pPr>
        <w:ind w:left="360"/>
        <w:rPr>
          <w:rFonts w:ascii="Times New Roman" w:hAnsi="Times New Roman" w:cs="Times New Roman"/>
          <w:sz w:val="24"/>
          <w:szCs w:val="24"/>
        </w:rPr>
      </w:pPr>
      <w:r>
        <w:rPr>
          <w:rFonts w:ascii="Times New Roman" w:hAnsi="Times New Roman" w:cs="Times New Roman"/>
          <w:sz w:val="24"/>
          <w:szCs w:val="24"/>
        </w:rPr>
        <w:t xml:space="preserve">A number of </w:t>
      </w:r>
      <w:r w:rsidR="00B157C6" w:rsidRPr="00527F2A">
        <w:rPr>
          <w:rFonts w:ascii="Times New Roman" w:hAnsi="Times New Roman" w:cs="Times New Roman"/>
          <w:sz w:val="24"/>
          <w:szCs w:val="24"/>
        </w:rPr>
        <w:t xml:space="preserve">ports surveyed also stated while it is not a requirement to provide facilities for truckers most of them </w:t>
      </w:r>
      <w:r w:rsidR="00A37CD4">
        <w:rPr>
          <w:rFonts w:ascii="Times New Roman" w:hAnsi="Times New Roman" w:cs="Times New Roman"/>
          <w:sz w:val="24"/>
          <w:szCs w:val="24"/>
        </w:rPr>
        <w:t xml:space="preserve">provide </w:t>
      </w:r>
      <w:r w:rsidR="00B157C6" w:rsidRPr="00527F2A">
        <w:rPr>
          <w:rFonts w:ascii="Times New Roman" w:hAnsi="Times New Roman" w:cs="Times New Roman"/>
          <w:sz w:val="24"/>
          <w:szCs w:val="24"/>
        </w:rPr>
        <w:t>staging areas for the tenants to use. Some of the amenities that are provided by the various ports are</w:t>
      </w:r>
      <w:r w:rsidR="00A37CD4">
        <w:rPr>
          <w:rFonts w:ascii="Times New Roman" w:hAnsi="Times New Roman" w:cs="Times New Roman"/>
          <w:sz w:val="24"/>
          <w:szCs w:val="24"/>
        </w:rPr>
        <w:t>:</w:t>
      </w:r>
      <w:r w:rsidR="00B157C6" w:rsidRPr="00527F2A">
        <w:rPr>
          <w:rFonts w:ascii="Times New Roman" w:hAnsi="Times New Roman" w:cs="Times New Roman"/>
          <w:sz w:val="24"/>
          <w:szCs w:val="24"/>
        </w:rPr>
        <w:t xml:space="preserve"> </w:t>
      </w:r>
      <w:r w:rsidR="00A37CD4">
        <w:rPr>
          <w:rFonts w:ascii="Times New Roman" w:hAnsi="Times New Roman" w:cs="Times New Roman"/>
          <w:sz w:val="24"/>
          <w:szCs w:val="24"/>
        </w:rPr>
        <w:t>P</w:t>
      </w:r>
      <w:r w:rsidR="00B157C6" w:rsidRPr="00527F2A">
        <w:rPr>
          <w:rFonts w:ascii="Times New Roman" w:hAnsi="Times New Roman" w:cs="Times New Roman"/>
          <w:sz w:val="24"/>
          <w:szCs w:val="24"/>
        </w:rPr>
        <w:t xml:space="preserve">ortable and physical restroom facilities, </w:t>
      </w:r>
      <w:r w:rsidR="00527F2A" w:rsidRPr="00527F2A">
        <w:rPr>
          <w:rFonts w:ascii="Times New Roman" w:hAnsi="Times New Roman" w:cs="Times New Roman"/>
          <w:sz w:val="24"/>
          <w:szCs w:val="24"/>
        </w:rPr>
        <w:t>queuing</w:t>
      </w:r>
      <w:r w:rsidR="00B157C6" w:rsidRPr="00527F2A">
        <w:rPr>
          <w:rFonts w:ascii="Times New Roman" w:hAnsi="Times New Roman" w:cs="Times New Roman"/>
          <w:sz w:val="24"/>
          <w:szCs w:val="24"/>
        </w:rPr>
        <w:t xml:space="preserve"> lanes, break areas and fax machines. </w:t>
      </w:r>
      <w:r w:rsidR="00A37CD4">
        <w:rPr>
          <w:rFonts w:ascii="Times New Roman" w:hAnsi="Times New Roman" w:cs="Times New Roman"/>
          <w:sz w:val="24"/>
          <w:szCs w:val="24"/>
        </w:rPr>
        <w:t>Some</w:t>
      </w:r>
      <w:r w:rsidR="00A37CD4" w:rsidRPr="00527F2A">
        <w:rPr>
          <w:rFonts w:ascii="Times New Roman" w:hAnsi="Times New Roman" w:cs="Times New Roman"/>
          <w:sz w:val="24"/>
          <w:szCs w:val="24"/>
        </w:rPr>
        <w:t xml:space="preserve"> </w:t>
      </w:r>
      <w:r w:rsidR="00B157C6" w:rsidRPr="00527F2A">
        <w:rPr>
          <w:rFonts w:ascii="Times New Roman" w:hAnsi="Times New Roman" w:cs="Times New Roman"/>
          <w:sz w:val="24"/>
          <w:szCs w:val="24"/>
        </w:rPr>
        <w:t>port</w:t>
      </w:r>
      <w:r w:rsidR="00A37CD4">
        <w:rPr>
          <w:rFonts w:ascii="Times New Roman" w:hAnsi="Times New Roman" w:cs="Times New Roman"/>
          <w:sz w:val="24"/>
          <w:szCs w:val="24"/>
        </w:rPr>
        <w:t>s</w:t>
      </w:r>
      <w:r w:rsidR="00B157C6" w:rsidRPr="00527F2A">
        <w:rPr>
          <w:rFonts w:ascii="Times New Roman" w:hAnsi="Times New Roman" w:cs="Times New Roman"/>
          <w:sz w:val="24"/>
          <w:szCs w:val="24"/>
        </w:rPr>
        <w:t xml:space="preserve"> provides a customer service center that is funded by the port and is operated by a port contractor, the main reason for the service center is to ensure that the truckers are in compliance with their secure truck program. </w:t>
      </w:r>
    </w:p>
    <w:p w:rsidR="00A37CD4" w:rsidRDefault="005C4C63" w:rsidP="00491FB4">
      <w:pPr>
        <w:ind w:left="360"/>
        <w:rPr>
          <w:rFonts w:ascii="Times New Roman" w:hAnsi="Times New Roman" w:cs="Times New Roman"/>
          <w:sz w:val="24"/>
          <w:szCs w:val="24"/>
        </w:rPr>
      </w:pPr>
      <w:r>
        <w:rPr>
          <w:rFonts w:ascii="Times New Roman" w:hAnsi="Times New Roman" w:cs="Times New Roman"/>
          <w:sz w:val="24"/>
          <w:szCs w:val="24"/>
        </w:rPr>
        <w:t xml:space="preserve">Afterword: This Leasing Best Practices </w:t>
      </w:r>
      <w:r w:rsidR="006F58E4">
        <w:rPr>
          <w:rFonts w:ascii="Times New Roman" w:hAnsi="Times New Roman" w:cs="Times New Roman"/>
          <w:sz w:val="24"/>
          <w:szCs w:val="24"/>
        </w:rPr>
        <w:t>project is</w:t>
      </w:r>
      <w:r>
        <w:rPr>
          <w:rFonts w:ascii="Times New Roman" w:hAnsi="Times New Roman" w:cs="Times New Roman"/>
          <w:sz w:val="24"/>
          <w:szCs w:val="24"/>
        </w:rPr>
        <w:t xml:space="preserve"> envisioned to be</w:t>
      </w:r>
      <w:r w:rsidR="00C9023B">
        <w:rPr>
          <w:rFonts w:ascii="Times New Roman" w:hAnsi="Times New Roman" w:cs="Times New Roman"/>
          <w:sz w:val="24"/>
          <w:szCs w:val="24"/>
        </w:rPr>
        <w:t xml:space="preserve"> </w:t>
      </w:r>
      <w:r>
        <w:rPr>
          <w:rFonts w:ascii="Times New Roman" w:hAnsi="Times New Roman" w:cs="Times New Roman"/>
          <w:sz w:val="24"/>
          <w:szCs w:val="24"/>
        </w:rPr>
        <w:t>an evolving, expandable resource that</w:t>
      </w:r>
      <w:r w:rsidR="00C9023B">
        <w:rPr>
          <w:rFonts w:ascii="Times New Roman" w:hAnsi="Times New Roman" w:cs="Times New Roman"/>
          <w:sz w:val="24"/>
          <w:szCs w:val="24"/>
        </w:rPr>
        <w:t xml:space="preserve"> </w:t>
      </w:r>
      <w:r>
        <w:rPr>
          <w:rFonts w:ascii="Times New Roman" w:hAnsi="Times New Roman" w:cs="Times New Roman"/>
          <w:sz w:val="24"/>
          <w:szCs w:val="24"/>
        </w:rPr>
        <w:t>incorporates new information, ideas and techniques</w:t>
      </w:r>
      <w:r w:rsidR="00A31C3F">
        <w:rPr>
          <w:rFonts w:ascii="Times New Roman" w:hAnsi="Times New Roman" w:cs="Times New Roman"/>
          <w:sz w:val="24"/>
          <w:szCs w:val="24"/>
        </w:rPr>
        <w:t xml:space="preserve"> </w:t>
      </w:r>
      <w:r w:rsidR="00C9023B">
        <w:rPr>
          <w:rFonts w:ascii="Times New Roman" w:hAnsi="Times New Roman" w:cs="Times New Roman"/>
          <w:sz w:val="24"/>
          <w:szCs w:val="24"/>
        </w:rPr>
        <w:t xml:space="preserve">from all AAPA members. A copy of the survey provided to the </w:t>
      </w:r>
      <w:r>
        <w:rPr>
          <w:rFonts w:ascii="Times New Roman" w:hAnsi="Times New Roman" w:cs="Times New Roman"/>
          <w:sz w:val="24"/>
          <w:szCs w:val="24"/>
        </w:rPr>
        <w:t>MEDC</w:t>
      </w:r>
      <w:r w:rsidR="00B650E0">
        <w:rPr>
          <w:rFonts w:ascii="Times New Roman" w:hAnsi="Times New Roman" w:cs="Times New Roman"/>
          <w:sz w:val="24"/>
          <w:szCs w:val="24"/>
        </w:rPr>
        <w:t xml:space="preserve"> by the </w:t>
      </w:r>
      <w:r w:rsidR="00A31C3F">
        <w:rPr>
          <w:rFonts w:ascii="Times New Roman" w:hAnsi="Times New Roman" w:cs="Times New Roman"/>
          <w:sz w:val="24"/>
          <w:szCs w:val="24"/>
        </w:rPr>
        <w:t>Member ports are</w:t>
      </w:r>
      <w:r w:rsidR="00C9023B">
        <w:rPr>
          <w:rFonts w:ascii="Times New Roman" w:hAnsi="Times New Roman" w:cs="Times New Roman"/>
          <w:sz w:val="24"/>
          <w:szCs w:val="24"/>
        </w:rPr>
        <w:t xml:space="preserve"> attached below. </w:t>
      </w:r>
      <w:r>
        <w:rPr>
          <w:rFonts w:ascii="Times New Roman" w:hAnsi="Times New Roman" w:cs="Times New Roman"/>
          <w:sz w:val="24"/>
          <w:szCs w:val="24"/>
        </w:rPr>
        <w:t>Next an</w:t>
      </w:r>
      <w:r w:rsidR="00C9023B">
        <w:rPr>
          <w:rFonts w:ascii="Times New Roman" w:hAnsi="Times New Roman" w:cs="Times New Roman"/>
          <w:sz w:val="24"/>
          <w:szCs w:val="24"/>
        </w:rPr>
        <w:t xml:space="preserve"> online reference guide will be developed and a link to the guide will be provided in this document. The reference guide will include a table of port </w:t>
      </w:r>
      <w:r w:rsidR="00A31C3F">
        <w:rPr>
          <w:rFonts w:ascii="Times New Roman" w:hAnsi="Times New Roman" w:cs="Times New Roman"/>
          <w:sz w:val="24"/>
          <w:szCs w:val="24"/>
        </w:rPr>
        <w:t>responses</w:t>
      </w:r>
      <w:r w:rsidR="00C9023B">
        <w:rPr>
          <w:rFonts w:ascii="Times New Roman" w:hAnsi="Times New Roman" w:cs="Times New Roman"/>
          <w:sz w:val="24"/>
          <w:szCs w:val="24"/>
        </w:rPr>
        <w:t xml:space="preserve"> and a table of leasing policies</w:t>
      </w:r>
      <w:r w:rsidR="00B650E0">
        <w:rPr>
          <w:rFonts w:ascii="Times New Roman" w:hAnsi="Times New Roman" w:cs="Times New Roman"/>
          <w:sz w:val="24"/>
          <w:szCs w:val="24"/>
        </w:rPr>
        <w:t xml:space="preserve">, </w:t>
      </w:r>
      <w:r w:rsidR="00C9023B">
        <w:rPr>
          <w:rFonts w:ascii="Times New Roman" w:hAnsi="Times New Roman" w:cs="Times New Roman"/>
          <w:sz w:val="24"/>
          <w:szCs w:val="24"/>
        </w:rPr>
        <w:t>examples</w:t>
      </w:r>
      <w:r w:rsidR="00B650E0">
        <w:rPr>
          <w:rFonts w:ascii="Times New Roman" w:hAnsi="Times New Roman" w:cs="Times New Roman"/>
          <w:sz w:val="24"/>
          <w:szCs w:val="24"/>
        </w:rPr>
        <w:t xml:space="preserve"> and</w:t>
      </w:r>
      <w:r w:rsidR="00C9023B">
        <w:rPr>
          <w:rFonts w:ascii="Times New Roman" w:hAnsi="Times New Roman" w:cs="Times New Roman"/>
          <w:sz w:val="24"/>
          <w:szCs w:val="24"/>
        </w:rPr>
        <w:t xml:space="preserve"> updates from AAPA members and new and/or special provisions that have been introduced.   </w:t>
      </w:r>
    </w:p>
    <w:p w:rsidR="002751AB" w:rsidRPr="00527F2A" w:rsidRDefault="002751AB" w:rsidP="002751AB">
      <w:pPr>
        <w:ind w:left="360"/>
        <w:rPr>
          <w:rFonts w:ascii="Times New Roman" w:hAnsi="Times New Roman" w:cs="Times New Roman"/>
          <w:sz w:val="24"/>
          <w:szCs w:val="24"/>
        </w:rPr>
      </w:pPr>
    </w:p>
    <w:sectPr w:rsidR="002751AB" w:rsidRPr="00527F2A" w:rsidSect="00BC3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LucidaGrande-Bold">
    <w:panose1 w:val="00000000000000000000"/>
    <w:charset w:val="00"/>
    <w:family w:val="swiss"/>
    <w:notTrueType/>
    <w:pitch w:val="default"/>
    <w:sig w:usb0="00000003" w:usb1="00000000" w:usb2="00000000" w:usb3="00000000" w:csb0="00000001" w:csb1="00000000"/>
  </w:font>
  <w:font w:name="LucidaGran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2C34"/>
    <w:multiLevelType w:val="hybridMultilevel"/>
    <w:tmpl w:val="B9AA461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C45214"/>
    <w:multiLevelType w:val="hybridMultilevel"/>
    <w:tmpl w:val="3416B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1911FE"/>
    <w:multiLevelType w:val="hybridMultilevel"/>
    <w:tmpl w:val="C6262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340776"/>
    <w:multiLevelType w:val="hybridMultilevel"/>
    <w:tmpl w:val="59105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F2726C"/>
    <w:multiLevelType w:val="hybridMultilevel"/>
    <w:tmpl w:val="EB4EBC8C"/>
    <w:lvl w:ilvl="0" w:tplc="81921C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B2412FE"/>
    <w:multiLevelType w:val="hybridMultilevel"/>
    <w:tmpl w:val="401CD9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0537DFF"/>
    <w:multiLevelType w:val="hybridMultilevel"/>
    <w:tmpl w:val="56402D9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88"/>
    <w:rsid w:val="00001472"/>
    <w:rsid w:val="00022C81"/>
    <w:rsid w:val="00035ED2"/>
    <w:rsid w:val="00046E30"/>
    <w:rsid w:val="00075E67"/>
    <w:rsid w:val="00094019"/>
    <w:rsid w:val="000A5DF9"/>
    <w:rsid w:val="000B220C"/>
    <w:rsid w:val="000B54C5"/>
    <w:rsid w:val="000C2D99"/>
    <w:rsid w:val="000D4C5E"/>
    <w:rsid w:val="00101BE1"/>
    <w:rsid w:val="00107BBA"/>
    <w:rsid w:val="00135FA9"/>
    <w:rsid w:val="00137634"/>
    <w:rsid w:val="001F40FF"/>
    <w:rsid w:val="00207E5E"/>
    <w:rsid w:val="00216EE4"/>
    <w:rsid w:val="00224210"/>
    <w:rsid w:val="002314DC"/>
    <w:rsid w:val="002330A2"/>
    <w:rsid w:val="00250B88"/>
    <w:rsid w:val="00263470"/>
    <w:rsid w:val="0027356C"/>
    <w:rsid w:val="002751AB"/>
    <w:rsid w:val="0028569C"/>
    <w:rsid w:val="0028686F"/>
    <w:rsid w:val="002934D7"/>
    <w:rsid w:val="002B7AC1"/>
    <w:rsid w:val="002F2F19"/>
    <w:rsid w:val="003205AC"/>
    <w:rsid w:val="003510BA"/>
    <w:rsid w:val="003801DF"/>
    <w:rsid w:val="003A339C"/>
    <w:rsid w:val="003E67B6"/>
    <w:rsid w:val="004218A5"/>
    <w:rsid w:val="00460089"/>
    <w:rsid w:val="00476F13"/>
    <w:rsid w:val="004773E9"/>
    <w:rsid w:val="00491FB4"/>
    <w:rsid w:val="004C1667"/>
    <w:rsid w:val="004C57A8"/>
    <w:rsid w:val="00506F14"/>
    <w:rsid w:val="005169E9"/>
    <w:rsid w:val="00527F2A"/>
    <w:rsid w:val="005327AF"/>
    <w:rsid w:val="00543CEB"/>
    <w:rsid w:val="00554CD2"/>
    <w:rsid w:val="00586E6D"/>
    <w:rsid w:val="005A5F54"/>
    <w:rsid w:val="005C4C63"/>
    <w:rsid w:val="005E6BFB"/>
    <w:rsid w:val="00616E31"/>
    <w:rsid w:val="006174DA"/>
    <w:rsid w:val="0062286B"/>
    <w:rsid w:val="00647A05"/>
    <w:rsid w:val="006A3B1C"/>
    <w:rsid w:val="006A58F7"/>
    <w:rsid w:val="006B1327"/>
    <w:rsid w:val="006B4FF9"/>
    <w:rsid w:val="006C5F92"/>
    <w:rsid w:val="006D722F"/>
    <w:rsid w:val="006F58E4"/>
    <w:rsid w:val="007033B7"/>
    <w:rsid w:val="0072254F"/>
    <w:rsid w:val="00730591"/>
    <w:rsid w:val="007473F3"/>
    <w:rsid w:val="007502E1"/>
    <w:rsid w:val="007669AE"/>
    <w:rsid w:val="00767AAA"/>
    <w:rsid w:val="00771B0D"/>
    <w:rsid w:val="00777431"/>
    <w:rsid w:val="00781876"/>
    <w:rsid w:val="00791D53"/>
    <w:rsid w:val="007A3F76"/>
    <w:rsid w:val="007C19EA"/>
    <w:rsid w:val="007C7262"/>
    <w:rsid w:val="007D014E"/>
    <w:rsid w:val="007F6352"/>
    <w:rsid w:val="00817F4C"/>
    <w:rsid w:val="00834D76"/>
    <w:rsid w:val="008422A0"/>
    <w:rsid w:val="00851B12"/>
    <w:rsid w:val="008558E3"/>
    <w:rsid w:val="008903DC"/>
    <w:rsid w:val="0090170C"/>
    <w:rsid w:val="00942D8C"/>
    <w:rsid w:val="009A466E"/>
    <w:rsid w:val="009A57D9"/>
    <w:rsid w:val="009A66B3"/>
    <w:rsid w:val="00A1128C"/>
    <w:rsid w:val="00A31C3F"/>
    <w:rsid w:val="00A32416"/>
    <w:rsid w:val="00A37CD4"/>
    <w:rsid w:val="00A4529C"/>
    <w:rsid w:val="00A852D3"/>
    <w:rsid w:val="00A921C0"/>
    <w:rsid w:val="00AA1779"/>
    <w:rsid w:val="00AB1460"/>
    <w:rsid w:val="00AE0E3D"/>
    <w:rsid w:val="00B14393"/>
    <w:rsid w:val="00B157C6"/>
    <w:rsid w:val="00B26E7B"/>
    <w:rsid w:val="00B32F72"/>
    <w:rsid w:val="00B44AC5"/>
    <w:rsid w:val="00B650E0"/>
    <w:rsid w:val="00B80C6F"/>
    <w:rsid w:val="00B86E69"/>
    <w:rsid w:val="00BC3739"/>
    <w:rsid w:val="00BE16D3"/>
    <w:rsid w:val="00BF341F"/>
    <w:rsid w:val="00BF62DD"/>
    <w:rsid w:val="00BF7380"/>
    <w:rsid w:val="00C25223"/>
    <w:rsid w:val="00C334B4"/>
    <w:rsid w:val="00C43F3B"/>
    <w:rsid w:val="00C454DC"/>
    <w:rsid w:val="00C64DFB"/>
    <w:rsid w:val="00C6587C"/>
    <w:rsid w:val="00C9023B"/>
    <w:rsid w:val="00CA7137"/>
    <w:rsid w:val="00CB6E4B"/>
    <w:rsid w:val="00CD61DD"/>
    <w:rsid w:val="00CF6D89"/>
    <w:rsid w:val="00D03A98"/>
    <w:rsid w:val="00D21220"/>
    <w:rsid w:val="00D264CE"/>
    <w:rsid w:val="00D44C3B"/>
    <w:rsid w:val="00D51C43"/>
    <w:rsid w:val="00D73D99"/>
    <w:rsid w:val="00DA306A"/>
    <w:rsid w:val="00DA67B8"/>
    <w:rsid w:val="00DB180B"/>
    <w:rsid w:val="00DD65C1"/>
    <w:rsid w:val="00DE2800"/>
    <w:rsid w:val="00DE4501"/>
    <w:rsid w:val="00E27070"/>
    <w:rsid w:val="00E354C7"/>
    <w:rsid w:val="00E43960"/>
    <w:rsid w:val="00E475D3"/>
    <w:rsid w:val="00E55392"/>
    <w:rsid w:val="00E61EF9"/>
    <w:rsid w:val="00E73ADF"/>
    <w:rsid w:val="00E846EE"/>
    <w:rsid w:val="00EA5274"/>
    <w:rsid w:val="00ED2A80"/>
    <w:rsid w:val="00EF2E7B"/>
    <w:rsid w:val="00EF3043"/>
    <w:rsid w:val="00EF565A"/>
    <w:rsid w:val="00F078CA"/>
    <w:rsid w:val="00F5479A"/>
    <w:rsid w:val="00F66685"/>
    <w:rsid w:val="00F67208"/>
    <w:rsid w:val="00F7543E"/>
    <w:rsid w:val="00FA72B3"/>
    <w:rsid w:val="00FC32D3"/>
    <w:rsid w:val="00FF04D5"/>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B12"/>
    <w:pPr>
      <w:ind w:left="720"/>
      <w:contextualSpacing/>
    </w:pPr>
  </w:style>
  <w:style w:type="character" w:styleId="CommentReference">
    <w:name w:val="annotation reference"/>
    <w:basedOn w:val="DefaultParagraphFont"/>
    <w:uiPriority w:val="99"/>
    <w:semiHidden/>
    <w:unhideWhenUsed/>
    <w:rsid w:val="006D722F"/>
    <w:rPr>
      <w:sz w:val="16"/>
      <w:szCs w:val="16"/>
    </w:rPr>
  </w:style>
  <w:style w:type="paragraph" w:styleId="CommentText">
    <w:name w:val="annotation text"/>
    <w:basedOn w:val="Normal"/>
    <w:link w:val="CommentTextChar"/>
    <w:uiPriority w:val="99"/>
    <w:semiHidden/>
    <w:unhideWhenUsed/>
    <w:rsid w:val="006D722F"/>
    <w:pPr>
      <w:spacing w:line="240" w:lineRule="auto"/>
    </w:pPr>
    <w:rPr>
      <w:sz w:val="20"/>
      <w:szCs w:val="20"/>
    </w:rPr>
  </w:style>
  <w:style w:type="character" w:customStyle="1" w:styleId="CommentTextChar">
    <w:name w:val="Comment Text Char"/>
    <w:basedOn w:val="DefaultParagraphFont"/>
    <w:link w:val="CommentText"/>
    <w:uiPriority w:val="99"/>
    <w:semiHidden/>
    <w:rsid w:val="006D722F"/>
    <w:rPr>
      <w:sz w:val="20"/>
      <w:szCs w:val="20"/>
    </w:rPr>
  </w:style>
  <w:style w:type="paragraph" w:styleId="CommentSubject">
    <w:name w:val="annotation subject"/>
    <w:basedOn w:val="CommentText"/>
    <w:next w:val="CommentText"/>
    <w:link w:val="CommentSubjectChar"/>
    <w:uiPriority w:val="99"/>
    <w:semiHidden/>
    <w:unhideWhenUsed/>
    <w:rsid w:val="006D722F"/>
    <w:rPr>
      <w:b/>
      <w:bCs/>
    </w:rPr>
  </w:style>
  <w:style w:type="character" w:customStyle="1" w:styleId="CommentSubjectChar">
    <w:name w:val="Comment Subject Char"/>
    <w:basedOn w:val="CommentTextChar"/>
    <w:link w:val="CommentSubject"/>
    <w:uiPriority w:val="99"/>
    <w:semiHidden/>
    <w:rsid w:val="006D722F"/>
    <w:rPr>
      <w:b/>
      <w:bCs/>
      <w:sz w:val="20"/>
      <w:szCs w:val="20"/>
    </w:rPr>
  </w:style>
  <w:style w:type="paragraph" w:styleId="BalloonText">
    <w:name w:val="Balloon Text"/>
    <w:basedOn w:val="Normal"/>
    <w:link w:val="BalloonTextChar"/>
    <w:uiPriority w:val="99"/>
    <w:semiHidden/>
    <w:unhideWhenUsed/>
    <w:rsid w:val="006D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22F"/>
    <w:rPr>
      <w:rFonts w:ascii="Tahoma" w:hAnsi="Tahoma" w:cs="Tahoma"/>
      <w:sz w:val="16"/>
      <w:szCs w:val="16"/>
    </w:rPr>
  </w:style>
  <w:style w:type="paragraph" w:styleId="Revision">
    <w:name w:val="Revision"/>
    <w:hidden/>
    <w:uiPriority w:val="99"/>
    <w:semiHidden/>
    <w:rsid w:val="00E61EF9"/>
    <w:pPr>
      <w:spacing w:after="0" w:line="240" w:lineRule="auto"/>
    </w:pPr>
  </w:style>
  <w:style w:type="paragraph" w:customStyle="1" w:styleId="msolistparagraph0">
    <w:name w:val="msolistparagraph"/>
    <w:rsid w:val="00C9023B"/>
    <w:pPr>
      <w:spacing w:after="0" w:line="240" w:lineRule="auto"/>
      <w:ind w:left="720"/>
    </w:pPr>
    <w:rPr>
      <w:rFonts w:ascii="Lucida Grande" w:eastAsia="ヒラギノ角ゴ Pro W3" w:hAnsi="Lucida Grande" w:cs="Times New Roman"/>
      <w:color w:val="000000"/>
      <w:szCs w:val="20"/>
    </w:rPr>
  </w:style>
  <w:style w:type="paragraph" w:customStyle="1" w:styleId="Default">
    <w:name w:val="Default"/>
    <w:rsid w:val="00EA527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B12"/>
    <w:pPr>
      <w:ind w:left="720"/>
      <w:contextualSpacing/>
    </w:pPr>
  </w:style>
  <w:style w:type="character" w:styleId="CommentReference">
    <w:name w:val="annotation reference"/>
    <w:basedOn w:val="DefaultParagraphFont"/>
    <w:uiPriority w:val="99"/>
    <w:semiHidden/>
    <w:unhideWhenUsed/>
    <w:rsid w:val="006D722F"/>
    <w:rPr>
      <w:sz w:val="16"/>
      <w:szCs w:val="16"/>
    </w:rPr>
  </w:style>
  <w:style w:type="paragraph" w:styleId="CommentText">
    <w:name w:val="annotation text"/>
    <w:basedOn w:val="Normal"/>
    <w:link w:val="CommentTextChar"/>
    <w:uiPriority w:val="99"/>
    <w:semiHidden/>
    <w:unhideWhenUsed/>
    <w:rsid w:val="006D722F"/>
    <w:pPr>
      <w:spacing w:line="240" w:lineRule="auto"/>
    </w:pPr>
    <w:rPr>
      <w:sz w:val="20"/>
      <w:szCs w:val="20"/>
    </w:rPr>
  </w:style>
  <w:style w:type="character" w:customStyle="1" w:styleId="CommentTextChar">
    <w:name w:val="Comment Text Char"/>
    <w:basedOn w:val="DefaultParagraphFont"/>
    <w:link w:val="CommentText"/>
    <w:uiPriority w:val="99"/>
    <w:semiHidden/>
    <w:rsid w:val="006D722F"/>
    <w:rPr>
      <w:sz w:val="20"/>
      <w:szCs w:val="20"/>
    </w:rPr>
  </w:style>
  <w:style w:type="paragraph" w:styleId="CommentSubject">
    <w:name w:val="annotation subject"/>
    <w:basedOn w:val="CommentText"/>
    <w:next w:val="CommentText"/>
    <w:link w:val="CommentSubjectChar"/>
    <w:uiPriority w:val="99"/>
    <w:semiHidden/>
    <w:unhideWhenUsed/>
    <w:rsid w:val="006D722F"/>
    <w:rPr>
      <w:b/>
      <w:bCs/>
    </w:rPr>
  </w:style>
  <w:style w:type="character" w:customStyle="1" w:styleId="CommentSubjectChar">
    <w:name w:val="Comment Subject Char"/>
    <w:basedOn w:val="CommentTextChar"/>
    <w:link w:val="CommentSubject"/>
    <w:uiPriority w:val="99"/>
    <w:semiHidden/>
    <w:rsid w:val="006D722F"/>
    <w:rPr>
      <w:b/>
      <w:bCs/>
      <w:sz w:val="20"/>
      <w:szCs w:val="20"/>
    </w:rPr>
  </w:style>
  <w:style w:type="paragraph" w:styleId="BalloonText">
    <w:name w:val="Balloon Text"/>
    <w:basedOn w:val="Normal"/>
    <w:link w:val="BalloonTextChar"/>
    <w:uiPriority w:val="99"/>
    <w:semiHidden/>
    <w:unhideWhenUsed/>
    <w:rsid w:val="006D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22F"/>
    <w:rPr>
      <w:rFonts w:ascii="Tahoma" w:hAnsi="Tahoma" w:cs="Tahoma"/>
      <w:sz w:val="16"/>
      <w:szCs w:val="16"/>
    </w:rPr>
  </w:style>
  <w:style w:type="paragraph" w:styleId="Revision">
    <w:name w:val="Revision"/>
    <w:hidden/>
    <w:uiPriority w:val="99"/>
    <w:semiHidden/>
    <w:rsid w:val="00E61EF9"/>
    <w:pPr>
      <w:spacing w:after="0" w:line="240" w:lineRule="auto"/>
    </w:pPr>
  </w:style>
  <w:style w:type="paragraph" w:customStyle="1" w:styleId="msolistparagraph0">
    <w:name w:val="msolistparagraph"/>
    <w:rsid w:val="00C9023B"/>
    <w:pPr>
      <w:spacing w:after="0" w:line="240" w:lineRule="auto"/>
      <w:ind w:left="720"/>
    </w:pPr>
    <w:rPr>
      <w:rFonts w:ascii="Lucida Grande" w:eastAsia="ヒラギノ角ゴ Pro W3" w:hAnsi="Lucida Grande" w:cs="Times New Roman"/>
      <w:color w:val="000000"/>
      <w:szCs w:val="20"/>
    </w:rPr>
  </w:style>
  <w:style w:type="paragraph" w:customStyle="1" w:styleId="Default">
    <w:name w:val="Default"/>
    <w:rsid w:val="00EA527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CE1C-43C4-42A2-AB2D-5985319E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Port Of los Angeles</Company>
  <LinksUpToDate>false</LinksUpToDate>
  <CharactersWithSpaces>15835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Gomez,Eutimio</dc:creator>
  <cp:lastModifiedBy>Gomez,Eutimio</cp:lastModifiedBy>
  <cp:revision>3</cp:revision>
  <cp:lastPrinted>2013-06-06T17:54:00Z</cp:lastPrinted>
  <dcterms:created xsi:type="dcterms:W3CDTF">2013-06-19T19:09:00Z</dcterms:created>
  <dcterms:modified xsi:type="dcterms:W3CDTF">2013-06-19T19:09:00Z</dcterms:modified>
</cp:coreProperties>
</file>