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CBE" w:rsidRPr="00F26496" w:rsidRDefault="00F26496" w:rsidP="00F26496">
      <w:pPr>
        <w:jc w:val="center"/>
        <w:rPr>
          <w:b/>
        </w:rPr>
      </w:pPr>
      <w:bookmarkStart w:id="0" w:name="_GoBack"/>
      <w:bookmarkEnd w:id="0"/>
      <w:r w:rsidRPr="00F26496">
        <w:rPr>
          <w:b/>
        </w:rPr>
        <w:t>AMERICAN ASSOCIATION OF PORT AUTHORITIES</w:t>
      </w:r>
    </w:p>
    <w:p w:rsidR="00F26496" w:rsidRPr="00F26496" w:rsidRDefault="00F26496" w:rsidP="00F26496">
      <w:pPr>
        <w:jc w:val="center"/>
        <w:rPr>
          <w:b/>
        </w:rPr>
      </w:pPr>
      <w:r w:rsidRPr="00F26496">
        <w:rPr>
          <w:b/>
        </w:rPr>
        <w:t>PUBLIC RELATIONS COMMITTEE</w:t>
      </w:r>
    </w:p>
    <w:p w:rsidR="00F26496" w:rsidRPr="00F26496" w:rsidRDefault="00F26496" w:rsidP="00DD7BE6">
      <w:pPr>
        <w:jc w:val="center"/>
        <w:rPr>
          <w:b/>
        </w:rPr>
      </w:pPr>
      <w:r w:rsidRPr="00F26496">
        <w:rPr>
          <w:b/>
        </w:rPr>
        <w:t>OBJECTIVES 2016-2018</w:t>
      </w:r>
    </w:p>
    <w:p w:rsidR="00F26496" w:rsidRDefault="00F26496" w:rsidP="00AA175D">
      <w:pPr>
        <w:spacing w:after="0" w:line="240" w:lineRule="auto"/>
      </w:pPr>
    </w:p>
    <w:p w:rsidR="00F26496" w:rsidRDefault="00F26496" w:rsidP="00BF48A7">
      <w:pPr>
        <w:spacing w:after="0" w:line="240" w:lineRule="auto"/>
        <w:jc w:val="both"/>
      </w:pPr>
      <w:r>
        <w:t>The AAPA Public Affairs Committee met on October 24, 2016, at 9:30 am, with eleven</w:t>
      </w:r>
      <w:r w:rsidR="00DD7BE6">
        <w:t>-</w:t>
      </w:r>
      <w:r>
        <w:t>member port representatives in attendance.  The Committee took up discussion o</w:t>
      </w:r>
      <w:r w:rsidR="00BF48A7">
        <w:t>f</w:t>
      </w:r>
      <w:r>
        <w:t xml:space="preserve"> upcoming seminars and subcommittee reports.  </w:t>
      </w:r>
      <w:r w:rsidR="00D30BD3">
        <w:t xml:space="preserve">The Committee also viewed two public / community outreach efforts being performed </w:t>
      </w:r>
      <w:r w:rsidR="00BF48A7">
        <w:t>by</w:t>
      </w:r>
      <w:r w:rsidR="00D30BD3">
        <w:t xml:space="preserve"> two member ports.</w:t>
      </w:r>
    </w:p>
    <w:p w:rsidR="00AA175D" w:rsidRDefault="00AA175D" w:rsidP="00BF48A7">
      <w:pPr>
        <w:spacing w:after="0" w:line="240" w:lineRule="auto"/>
        <w:jc w:val="both"/>
      </w:pPr>
    </w:p>
    <w:p w:rsidR="00D30BD3" w:rsidRDefault="00D30BD3" w:rsidP="00BF48A7">
      <w:pPr>
        <w:spacing w:after="0" w:line="240" w:lineRule="auto"/>
        <w:jc w:val="both"/>
      </w:pPr>
      <w:r>
        <w:t>General discussion at the meeting focused on three areas:</w:t>
      </w:r>
    </w:p>
    <w:p w:rsidR="00AA175D" w:rsidRDefault="00AA175D" w:rsidP="00BF48A7">
      <w:pPr>
        <w:spacing w:after="0" w:line="240" w:lineRule="auto"/>
        <w:jc w:val="both"/>
      </w:pPr>
    </w:p>
    <w:p w:rsidR="00D30BD3" w:rsidRDefault="00182160" w:rsidP="00BF48A7">
      <w:pPr>
        <w:spacing w:after="0" w:line="240" w:lineRule="auto"/>
        <w:jc w:val="both"/>
      </w:pPr>
      <w:r>
        <w:rPr>
          <w:b/>
        </w:rPr>
        <w:t xml:space="preserve">1.  </w:t>
      </w:r>
      <w:r w:rsidR="00D30BD3" w:rsidRPr="00182160">
        <w:rPr>
          <w:b/>
        </w:rPr>
        <w:t>Subcommittee Structure:</w:t>
      </w:r>
      <w:r w:rsidR="00D30BD3">
        <w:t xml:space="preserve">  How can we encourage participation at the subcommittees?  Do we need new leadership, i.e., some chairs need to pass the baton due t</w:t>
      </w:r>
      <w:r w:rsidR="00BF48A7">
        <w:t>o professional time constraints?</w:t>
      </w:r>
      <w:r w:rsidR="00D30BD3">
        <w:t xml:space="preserve">  Are the subcommittees addressing topical and relevant</w:t>
      </w:r>
      <w:r w:rsidR="00BF48A7">
        <w:t xml:space="preserve"> issues and tasks</w:t>
      </w:r>
      <w:r w:rsidR="00D30BD3">
        <w:t>?  Are the subcommittees aptly named for the respective scope of work?</w:t>
      </w:r>
    </w:p>
    <w:p w:rsidR="00182160" w:rsidRDefault="00182160" w:rsidP="00BF48A7">
      <w:pPr>
        <w:spacing w:after="0" w:line="240" w:lineRule="auto"/>
        <w:jc w:val="both"/>
      </w:pPr>
    </w:p>
    <w:p w:rsidR="00AA175D" w:rsidRDefault="00182160" w:rsidP="00BF48A7">
      <w:pPr>
        <w:spacing w:after="0" w:line="240" w:lineRule="auto"/>
        <w:jc w:val="both"/>
      </w:pPr>
      <w:r w:rsidRPr="00AA175D">
        <w:rPr>
          <w:b/>
        </w:rPr>
        <w:t>2.  Participation in Seminars and PR Committee Meetings:</w:t>
      </w:r>
      <w:r>
        <w:t xml:space="preserve">  Leveraging joint Committee meetings whereby the respective committees share</w:t>
      </w:r>
      <w:r w:rsidR="00BF48A7">
        <w:t xml:space="preserve"> information on</w:t>
      </w:r>
      <w:r>
        <w:t xml:space="preserve"> common</w:t>
      </w:r>
      <w:r w:rsidR="00AA175D">
        <w:t xml:space="preserve"> issues and benefit from joint exercises; Relevant or topical subject matter to encourage or increase participation; What works, what doesn’t</w:t>
      </w:r>
      <w:r w:rsidR="00BF48A7">
        <w:t>?</w:t>
      </w:r>
      <w:r w:rsidR="00AA175D">
        <w:t xml:space="preserve">  </w:t>
      </w:r>
    </w:p>
    <w:p w:rsidR="00AA175D" w:rsidRDefault="00AA175D" w:rsidP="00BF48A7">
      <w:pPr>
        <w:spacing w:after="0" w:line="240" w:lineRule="auto"/>
        <w:jc w:val="both"/>
      </w:pPr>
    </w:p>
    <w:p w:rsidR="00182160" w:rsidRDefault="00AA175D" w:rsidP="00BF48A7">
      <w:pPr>
        <w:spacing w:after="0" w:line="240" w:lineRule="auto"/>
        <w:jc w:val="both"/>
      </w:pPr>
      <w:r w:rsidRPr="00AA175D">
        <w:rPr>
          <w:b/>
        </w:rPr>
        <w:t>3.  Seaports Magazine Editorial Advisory Board:</w:t>
      </w:r>
      <w:r>
        <w:t xml:space="preserve">  Review of the 2017 Editorial Calendar; Encouraging new blood participation – work seems to fall on the chair.   </w:t>
      </w:r>
    </w:p>
    <w:p w:rsidR="00182160" w:rsidRDefault="00182160" w:rsidP="00BF48A7">
      <w:pPr>
        <w:jc w:val="both"/>
      </w:pPr>
    </w:p>
    <w:p w:rsidR="00AA175D" w:rsidRPr="00DD7BE6" w:rsidRDefault="00DD7BE6" w:rsidP="00BF48A7">
      <w:pPr>
        <w:jc w:val="both"/>
        <w:rPr>
          <w:b/>
        </w:rPr>
      </w:pPr>
      <w:r>
        <w:rPr>
          <w:b/>
        </w:rPr>
        <w:t>Proposed Plan of Action</w:t>
      </w:r>
    </w:p>
    <w:p w:rsidR="00F850DB" w:rsidRDefault="00AA175D" w:rsidP="00BF48A7">
      <w:pPr>
        <w:jc w:val="both"/>
      </w:pPr>
      <w:r>
        <w:t>Time for PR Committee Strategic Plan – Lay out a multi-year</w:t>
      </w:r>
      <w:r w:rsidR="00DD7BE6">
        <w:t xml:space="preserve">, living </w:t>
      </w:r>
      <w:r>
        <w:t xml:space="preserve">plan with input from the </w:t>
      </w:r>
      <w:r w:rsidR="00F850DB">
        <w:t>1</w:t>
      </w:r>
      <w:r w:rsidR="00F850DB" w:rsidRPr="00F850DB">
        <w:rPr>
          <w:vertAlign w:val="superscript"/>
        </w:rPr>
        <w:t>st</w:t>
      </w:r>
      <w:r w:rsidR="00F850DB">
        <w:t xml:space="preserve"> and 2</w:t>
      </w:r>
      <w:r w:rsidR="00F850DB" w:rsidRPr="00F850DB">
        <w:rPr>
          <w:vertAlign w:val="superscript"/>
        </w:rPr>
        <w:t>nd</w:t>
      </w:r>
      <w:r w:rsidR="00F850DB">
        <w:t xml:space="preserve"> Vice Chairs to ensure buy-in and implementation.</w:t>
      </w:r>
    </w:p>
    <w:p w:rsidR="00F850DB" w:rsidRDefault="00F850DB" w:rsidP="00BF48A7">
      <w:pPr>
        <w:tabs>
          <w:tab w:val="left" w:pos="720"/>
        </w:tabs>
        <w:ind w:left="720" w:hanging="360"/>
        <w:jc w:val="both"/>
      </w:pPr>
      <w:r>
        <w:t>a.</w:t>
      </w:r>
      <w:r>
        <w:tab/>
      </w:r>
      <w:r w:rsidR="00AA175D">
        <w:t>Utilize free on-line survey</w:t>
      </w:r>
      <w:r>
        <w:t xml:space="preserve"> tools to poll members with these objectives:</w:t>
      </w:r>
    </w:p>
    <w:p w:rsidR="00DD7BE6" w:rsidRDefault="00DD7BE6" w:rsidP="00BF48A7">
      <w:pPr>
        <w:tabs>
          <w:tab w:val="left" w:pos="720"/>
        </w:tabs>
        <w:ind w:left="720" w:hanging="360"/>
        <w:jc w:val="both"/>
      </w:pPr>
      <w:r>
        <w:tab/>
      </w:r>
      <w:r w:rsidR="00F850DB">
        <w:t xml:space="preserve">-  </w:t>
      </w:r>
      <w:r w:rsidR="00F850DB" w:rsidRPr="00DD7BE6">
        <w:rPr>
          <w:i/>
        </w:rPr>
        <w:t>I</w:t>
      </w:r>
      <w:r w:rsidR="00AA175D" w:rsidRPr="00DD7BE6">
        <w:rPr>
          <w:i/>
        </w:rPr>
        <w:t>dentify</w:t>
      </w:r>
      <w:r w:rsidR="00F850DB" w:rsidRPr="00DD7BE6">
        <w:rPr>
          <w:i/>
        </w:rPr>
        <w:t xml:space="preserve"> topics and training interests</w:t>
      </w:r>
      <w:r>
        <w:t>;</w:t>
      </w:r>
    </w:p>
    <w:p w:rsidR="00DD7BE6" w:rsidRDefault="00DD7BE6" w:rsidP="00BF48A7">
      <w:pPr>
        <w:tabs>
          <w:tab w:val="left" w:pos="720"/>
        </w:tabs>
        <w:ind w:left="720" w:hanging="360"/>
        <w:jc w:val="both"/>
      </w:pPr>
      <w:r>
        <w:tab/>
        <w:t xml:space="preserve">-  </w:t>
      </w:r>
      <w:r w:rsidRPr="00DD7BE6">
        <w:rPr>
          <w:i/>
        </w:rPr>
        <w:t>Identify and prioritize targeted</w:t>
      </w:r>
      <w:r w:rsidR="00F850DB" w:rsidRPr="00DD7BE6">
        <w:rPr>
          <w:i/>
        </w:rPr>
        <w:t xml:space="preserve"> audience</w:t>
      </w:r>
      <w:r w:rsidRPr="00DD7BE6">
        <w:rPr>
          <w:i/>
        </w:rPr>
        <w:t>s</w:t>
      </w:r>
      <w:r>
        <w:t>, i.e., The Hill; Regulators; state/local government policy make</w:t>
      </w:r>
      <w:r w:rsidR="00BF48A7">
        <w:t>rs, community/</w:t>
      </w:r>
      <w:r>
        <w:t>grass roots organizations; or the public at large</w:t>
      </w:r>
      <w:r w:rsidR="00BF48A7">
        <w:t>;</w:t>
      </w:r>
      <w:r>
        <w:t xml:space="preserve"> identify partnering opportunities;</w:t>
      </w:r>
    </w:p>
    <w:p w:rsidR="00DD7BE6" w:rsidRDefault="00DD7BE6" w:rsidP="00BF48A7">
      <w:pPr>
        <w:tabs>
          <w:tab w:val="left" w:pos="720"/>
        </w:tabs>
        <w:ind w:left="720" w:hanging="360"/>
        <w:jc w:val="both"/>
      </w:pPr>
      <w:r>
        <w:tab/>
      </w:r>
      <w:r w:rsidR="00F850DB">
        <w:t xml:space="preserve">-  </w:t>
      </w:r>
      <w:r w:rsidR="00F850DB" w:rsidRPr="00DD7BE6">
        <w:rPr>
          <w:i/>
        </w:rPr>
        <w:t>Project opportunities</w:t>
      </w:r>
      <w:r w:rsidR="00F850DB">
        <w:t xml:space="preserve">.  Based on </w:t>
      </w:r>
      <w:r w:rsidR="00BF48A7">
        <w:t xml:space="preserve">defined and prioritized </w:t>
      </w:r>
      <w:r w:rsidR="00F850DB">
        <w:t xml:space="preserve">issues, identify methods to leverage work products or generate new projects to </w:t>
      </w:r>
      <w:r w:rsidR="00BF48A7">
        <w:t xml:space="preserve">educate and expand key </w:t>
      </w:r>
      <w:r w:rsidR="00F850DB">
        <w:t>messaging to a broad</w:t>
      </w:r>
      <w:r>
        <w:t>er</w:t>
      </w:r>
      <w:r w:rsidR="00F850DB">
        <w:t xml:space="preserve"> community</w:t>
      </w:r>
      <w:r>
        <w:t>;</w:t>
      </w:r>
    </w:p>
    <w:p w:rsidR="00F850DB" w:rsidRDefault="00DD7BE6" w:rsidP="00BF48A7">
      <w:pPr>
        <w:tabs>
          <w:tab w:val="left" w:pos="720"/>
        </w:tabs>
        <w:ind w:left="720" w:hanging="360"/>
        <w:jc w:val="both"/>
      </w:pPr>
      <w:r>
        <w:tab/>
      </w:r>
      <w:r w:rsidR="00F850DB">
        <w:t xml:space="preserve">-  </w:t>
      </w:r>
      <w:r w:rsidR="00F850DB" w:rsidRPr="00DD7BE6">
        <w:rPr>
          <w:i/>
        </w:rPr>
        <w:t xml:space="preserve">Training </w:t>
      </w:r>
      <w:r>
        <w:rPr>
          <w:i/>
        </w:rPr>
        <w:t>o</w:t>
      </w:r>
      <w:r w:rsidR="00F850DB" w:rsidRPr="00DD7BE6">
        <w:rPr>
          <w:i/>
        </w:rPr>
        <w:t>pportunities</w:t>
      </w:r>
      <w:r w:rsidR="00F850DB">
        <w:t xml:space="preserve"> – Based on </w:t>
      </w:r>
      <w:r w:rsidR="00BF48A7">
        <w:t>defined and prioritized issues</w:t>
      </w:r>
      <w:r w:rsidR="00F850DB">
        <w:t xml:space="preserve">, seek information on joint seminar/training activities to build upon </w:t>
      </w:r>
      <w:r>
        <w:t>members’</w:t>
      </w:r>
      <w:r w:rsidR="00F850DB">
        <w:t xml:space="preserve"> knowledge base and augment PR tool kits</w:t>
      </w:r>
      <w:r>
        <w:t>;</w:t>
      </w:r>
    </w:p>
    <w:p w:rsidR="00DD7BE6" w:rsidRDefault="00DD7BE6" w:rsidP="00BF48A7">
      <w:pPr>
        <w:ind w:left="720" w:hanging="450"/>
        <w:jc w:val="both"/>
      </w:pPr>
      <w:r>
        <w:t xml:space="preserve">b. </w:t>
      </w:r>
      <w:r>
        <w:tab/>
        <w:t>Tackle Redefining or Affirming Subcommittee structure, responsibilities and leadership.</w:t>
      </w:r>
    </w:p>
    <w:p w:rsidR="00AA175D" w:rsidRDefault="00DD7BE6" w:rsidP="00BF48A7">
      <w:pPr>
        <w:ind w:left="720" w:hanging="450"/>
        <w:jc w:val="both"/>
      </w:pPr>
      <w:r>
        <w:t>c.</w:t>
      </w:r>
      <w:r>
        <w:tab/>
        <w:t>Develop a Living 6-Year Strategic Plan:  Plan Development and Plan Implementation</w:t>
      </w:r>
      <w:r w:rsidR="00835975">
        <w:t>.</w:t>
      </w:r>
      <w:r>
        <w:t xml:space="preserve"> </w:t>
      </w:r>
      <w:r w:rsidR="00AA175D">
        <w:t xml:space="preserve">  </w:t>
      </w:r>
    </w:p>
    <w:sectPr w:rsidR="00AA175D" w:rsidSect="00F264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496" w:rsidRDefault="00F26496" w:rsidP="00F26496">
      <w:pPr>
        <w:spacing w:after="0" w:line="240" w:lineRule="auto"/>
      </w:pPr>
      <w:r>
        <w:separator/>
      </w:r>
    </w:p>
  </w:endnote>
  <w:endnote w:type="continuationSeparator" w:id="0">
    <w:p w:rsidR="00F26496" w:rsidRDefault="00F26496" w:rsidP="00F2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496" w:rsidRDefault="00F26496" w:rsidP="00F26496">
      <w:pPr>
        <w:spacing w:after="0" w:line="240" w:lineRule="auto"/>
      </w:pPr>
      <w:r>
        <w:separator/>
      </w:r>
    </w:p>
  </w:footnote>
  <w:footnote w:type="continuationSeparator" w:id="0">
    <w:p w:rsidR="00F26496" w:rsidRDefault="00F26496" w:rsidP="00F2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496" w:rsidRPr="00F26496" w:rsidRDefault="00F26496">
    <w:pPr>
      <w:spacing w:line="264" w:lineRule="auto"/>
      <w:rPr>
        <w:color w:val="5B9BD5" w:themeColor="accent1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05208F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BF48A7">
      <w:rPr>
        <w:color w:val="5B9BD5" w:themeColor="accent1"/>
        <w:sz w:val="20"/>
        <w:szCs w:val="20"/>
      </w:rPr>
      <w:t>AAPA – PR OBJECTIVES</w:t>
    </w:r>
    <w:r>
      <w:rPr>
        <w:color w:val="5B9BD5" w:themeColor="accent1"/>
        <w:sz w:val="20"/>
        <w:szCs w:val="20"/>
      </w:rPr>
      <w:t>_12062016</w:t>
    </w:r>
  </w:p>
  <w:p w:rsidR="00F26496" w:rsidRDefault="00F26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96"/>
    <w:rsid w:val="00182160"/>
    <w:rsid w:val="00835975"/>
    <w:rsid w:val="009B6CBE"/>
    <w:rsid w:val="00AA175D"/>
    <w:rsid w:val="00AF5366"/>
    <w:rsid w:val="00BF48A7"/>
    <w:rsid w:val="00D30BD3"/>
    <w:rsid w:val="00DD7BE6"/>
    <w:rsid w:val="00F26496"/>
    <w:rsid w:val="00F8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95B47E1-226F-4DF5-9DD2-7243670C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496"/>
  </w:style>
  <w:style w:type="paragraph" w:styleId="Footer">
    <w:name w:val="footer"/>
    <w:basedOn w:val="Normal"/>
    <w:link w:val="FooterChar"/>
    <w:uiPriority w:val="99"/>
    <w:unhideWhenUsed/>
    <w:rsid w:val="00F26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00186-CF37-4F53-BE98-F7F2BED4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Adams</dc:creator>
  <cp:keywords/>
  <dc:description/>
  <cp:lastModifiedBy>Aaron Ellis</cp:lastModifiedBy>
  <cp:revision>2</cp:revision>
  <dcterms:created xsi:type="dcterms:W3CDTF">2016-12-22T17:19:00Z</dcterms:created>
  <dcterms:modified xsi:type="dcterms:W3CDTF">2016-12-22T17:19:00Z</dcterms:modified>
</cp:coreProperties>
</file>